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Filed by: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Pursuant to Rule 425 under the Securities Act of 1933</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Subject Company: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Commission File No. 001-41926</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Date: August 11, 2026</w:t>
      </w:r>
    </w:p>
    <w:p>
      <w:pPr>
        <w:pStyle w:val="TextBody"/>
        <w:bidi w:val="0"/>
        <w:spacing w:before="0" w:after="0"/>
        <w:jc w:val="righ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LPSN Social Media Posts </w:t>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11 August 2026</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LivePerson LinkedIn Post</w:t>
      </w:r>
    </w:p>
    <w:p>
      <w:pPr>
        <w:pStyle w:val="TextBody"/>
        <w:bidi w:val="0"/>
        <w:spacing w:before="0" w:after="283"/>
        <w:jc w:val="left"/>
        <w:rPr/>
      </w:pPr>
      <w:r>
        <w:rPr/>
        <w:drawing>
          <wp:inline distT="0" distB="0" distL="0" distR="0">
            <wp:extent cx="3924300" cy="6505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24300" cy="65055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sans-serif" w:hAnsi="sans-serif"/>
          <w:b/>
          <w:color w:val="000000"/>
          <w:sz w:val="24"/>
        </w:rPr>
      </w:pPr>
      <w:r>
        <w:rPr>
          <w:rFonts w:ascii="sans-serif" w:hAnsi="sans-serif"/>
          <w:b/>
          <w:color w:val="000000"/>
          <w:sz w:val="24"/>
        </w:rPr>
        <w:t xml:space="preserve">LivePerson Stocktwits Post </w:t>
      </w:r>
    </w:p>
    <w:p>
      <w:pPr>
        <w:pStyle w:val="TextBody"/>
        <w:bidi w:val="0"/>
        <w:spacing w:before="0" w:after="0"/>
        <w:jc w:val="left"/>
        <w:rPr/>
      </w:pPr>
      <w:r>
        <w:rPr/>
      </w:r>
    </w:p>
    <w:p>
      <w:pPr>
        <w:pStyle w:val="TextBody"/>
        <w:bidi w:val="0"/>
        <w:spacing w:before="0" w:after="0"/>
        <w:jc w:val="left"/>
        <w:rPr/>
      </w:pPr>
      <w:r>
        <w:rPr/>
        <w:drawing>
          <wp:inline distT="0" distB="0" distL="0" distR="0">
            <wp:extent cx="4295775" cy="40671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4295775" cy="40671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This document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 Offer or Solicitation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Additional Information and Where to Find 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Participants in the Solicitation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1326</Words>
  <Characters>7864</Characters>
  <CharactersWithSpaces>9173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