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2024</w:t>
      </w:r>
    </w:p>
    <w:p>
      <w:pPr>
        <w:spacing w:after="0" w:line="158"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-499745</wp:posOffset>
            </wp:positionH>
            <wp:positionV relativeFrom="paragraph">
              <wp:posOffset>148590</wp:posOffset>
            </wp:positionV>
            <wp:extent cx="6454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35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7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153035</wp:posOffset>
            </wp:positionV>
            <wp:extent cx="1868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6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6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5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0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139700</wp:posOffset>
            </wp:positionV>
            <wp:extent cx="1739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31" w:lineRule="exact"/>
        <w:rPr>
          <w:sz w:val="24"/>
          <w:szCs w:val="24"/>
          <w:color w:val="auto"/>
        </w:rPr>
      </w:pPr>
    </w:p>
    <w:tbl>
      <w:tblPr>
        <w:tblLayout w:type="fixed"/>
        <w:tblInd w:w="20" w:type="dxa"/>
        <w:tblCellMar>
          <w:top w:w="0" w:type="dxa"/>
          <w:left w:w="0" w:type="dxa"/>
          <w:bottom w:w="0" w:type="dxa"/>
          <w:right w:w="0" w:type="dxa"/>
        </w:tblCellMar>
      </w:tblPr>
      <w:tr>
        <w:trPr>
          <w:trHeight w:val="467"/>
        </w:trPr>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gridSpan w:val="2"/>
          </w:tcPr>
          <w:p>
            <w:pPr>
              <w:jc w:val="center"/>
              <w:ind w:right="2270"/>
              <w:spacing w:after="0"/>
              <w:rPr>
                <w:sz w:val="20"/>
                <w:szCs w:val="20"/>
                <w:color w:val="auto"/>
              </w:rPr>
            </w:pPr>
            <w:r>
              <w:rPr>
                <w:rFonts w:ascii="Times New Roman" w:cs="Times New Roman" w:eastAsia="Times New Roman" w:hAnsi="Times New Roman"/>
                <w:sz w:val="36"/>
                <w:szCs w:val="36"/>
                <w:b w:val="1"/>
                <w:bCs w:val="1"/>
                <w:color w:val="auto"/>
              </w:rPr>
              <w:t>LivePerson, Inc.</w:t>
            </w:r>
          </w:p>
        </w:tc>
      </w:tr>
      <w:tr>
        <w:trPr>
          <w:trHeight w:val="258"/>
        </w:trPr>
        <w:tc>
          <w:tcPr>
            <w:tcW w:w="2300" w:type="dxa"/>
            <w:vAlign w:val="bottom"/>
          </w:tcPr>
          <w:p>
            <w:pPr>
              <w:spacing w:after="0"/>
              <w:rPr>
                <w:sz w:val="22"/>
                <w:szCs w:val="22"/>
                <w:color w:val="auto"/>
              </w:rPr>
            </w:pPr>
          </w:p>
        </w:tc>
        <w:tc>
          <w:tcPr>
            <w:tcW w:w="5900" w:type="dxa"/>
            <w:vAlign w:val="bottom"/>
            <w:gridSpan w:val="3"/>
          </w:tcPr>
          <w:p>
            <w:pPr>
              <w:jc w:val="center"/>
              <w:ind w:right="1450"/>
              <w:spacing w:after="0"/>
              <w:rPr>
                <w:sz w:val="20"/>
                <w:szCs w:val="20"/>
                <w:color w:val="auto"/>
              </w:rPr>
            </w:pPr>
            <w:r>
              <w:rPr>
                <w:rFonts w:ascii="Times New Roman" w:cs="Times New Roman" w:eastAsia="Times New Roman" w:hAnsi="Times New Roman"/>
                <w:sz w:val="20"/>
                <w:szCs w:val="20"/>
                <w:color w:val="auto"/>
                <w:w w:val="98"/>
              </w:rPr>
              <w:t>(Exact name of registrant as specified in its charter)</w:t>
            </w:r>
          </w:p>
        </w:tc>
      </w:tr>
      <w:tr>
        <w:trPr>
          <w:trHeight w:val="129"/>
        </w:trPr>
        <w:tc>
          <w:tcPr>
            <w:tcW w:w="2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r>
      <w:tr>
        <w:trPr>
          <w:trHeight w:val="642"/>
        </w:trPr>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900" w:type="dxa"/>
            <w:vAlign w:val="bottom"/>
            <w:gridSpan w:val="3"/>
          </w:tcPr>
          <w:p>
            <w:pPr>
              <w:jc w:val="center"/>
              <w:ind w:left="4467"/>
              <w:spacing w:after="0"/>
              <w:rPr>
                <w:sz w:val="20"/>
                <w:szCs w:val="20"/>
                <w:color w:val="auto"/>
              </w:rPr>
            </w:pPr>
            <w:r>
              <w:rPr>
                <w:rFonts w:ascii="Times New Roman" w:cs="Times New Roman" w:eastAsia="Times New Roman" w:hAnsi="Times New Roman"/>
                <w:sz w:val="18"/>
                <w:szCs w:val="18"/>
                <w:b w:val="1"/>
                <w:bCs w:val="1"/>
                <w:color w:val="auto"/>
                <w:w w:val="98"/>
              </w:rPr>
              <w:t>13-3861628</w:t>
            </w:r>
          </w:p>
        </w:tc>
      </w:tr>
      <w:tr>
        <w:trPr>
          <w:trHeight w:val="297"/>
        </w:trPr>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43"/>
        </w:trPr>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2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9"/>
              </w:rPr>
              <w:t>530 7th Avenue, Floor M1</w:t>
            </w:r>
          </w:p>
        </w:tc>
      </w:tr>
      <w:tr>
        <w:trPr>
          <w:trHeight w:val="243"/>
        </w:trPr>
        <w:tc>
          <w:tcPr>
            <w:tcW w:w="2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80" w:type="dxa"/>
            <w:vAlign w:val="bottom"/>
            <w:gridSpan w:val="2"/>
          </w:tcPr>
          <w:p>
            <w:pPr>
              <w:jc w:val="center"/>
              <w:ind w:right="2270"/>
              <w:spacing w:after="0"/>
              <w:rPr>
                <w:sz w:val="20"/>
                <w:szCs w:val="20"/>
                <w:color w:val="auto"/>
              </w:rPr>
            </w:pPr>
            <w:r>
              <w:rPr>
                <w:rFonts w:ascii="Times New Roman" w:cs="Times New Roman" w:eastAsia="Times New Roman" w:hAnsi="Times New Roman"/>
                <w:sz w:val="18"/>
                <w:szCs w:val="18"/>
                <w:b w:val="1"/>
                <w:bCs w:val="1"/>
                <w:color w:val="auto"/>
                <w:w w:val="98"/>
              </w:rPr>
              <w:t>New York, New York 10018</w:t>
            </w:r>
          </w:p>
        </w:tc>
      </w:tr>
      <w:tr>
        <w:trPr>
          <w:trHeight w:val="270"/>
        </w:trPr>
        <w:tc>
          <w:tcPr>
            <w:tcW w:w="2300" w:type="dxa"/>
            <w:vAlign w:val="bottom"/>
          </w:tcPr>
          <w:p>
            <w:pPr>
              <w:spacing w:after="0"/>
              <w:rPr>
                <w:sz w:val="23"/>
                <w:szCs w:val="23"/>
                <w:color w:val="auto"/>
              </w:rPr>
            </w:pPr>
          </w:p>
        </w:tc>
        <w:tc>
          <w:tcPr>
            <w:tcW w:w="5900" w:type="dxa"/>
            <w:vAlign w:val="bottom"/>
            <w:gridSpan w:val="3"/>
          </w:tcPr>
          <w:p>
            <w:pPr>
              <w:jc w:val="center"/>
              <w:ind w:right="14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1633855</wp:posOffset>
            </wp:positionH>
            <wp:positionV relativeFrom="paragraph">
              <wp:posOffset>299720</wp:posOffset>
            </wp:positionV>
            <wp:extent cx="2459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left="20" w:right="820"/>
        <w:spacing w:after="0" w:line="284" w:lineRule="auto"/>
        <w:rPr>
          <w:sz w:val="20"/>
          <w:szCs w:val="20"/>
          <w:color w:val="auto"/>
        </w:rPr>
      </w:pPr>
      <w:r>
        <w:rPr>
          <w:rFonts w:ascii="Times New Roman" w:cs="Times New Roman" w:eastAsia="Times New Roman" w:hAnsi="Times New Roman"/>
          <w:sz w:val="20"/>
          <w:szCs w:val="20"/>
          <w:b w:val="1"/>
          <w:bCs w:val="1"/>
          <w:color w:val="auto"/>
        </w:rPr>
        <w:t>Amended and Restated LivePerson, Inc. 2019 Stock Incentive Plan Amended and Restated LivePerson, Inc. 2019 Employee Stock Purchase Plan Amended and Restated LivePerson, Inc. 2018 Inducement Plan</w:t>
      </w:r>
    </w:p>
    <w:p>
      <w:pPr>
        <w:spacing w:after="0" w:line="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8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Monica L. Greenberg, Esq.</w:t>
      </w:r>
    </w:p>
    <w:p>
      <w:pPr>
        <w:spacing w:after="0" w:line="3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Executive Vice President of Policy and General Counsel</w:t>
      </w:r>
    </w:p>
    <w:p>
      <w:pPr>
        <w:spacing w:after="0" w:line="5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3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530 7th Avenue, Floor M1</w:t>
      </w:r>
    </w:p>
    <w:p>
      <w:pPr>
        <w:spacing w:after="0" w:line="5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3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5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6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5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Mark Hayek, Esq.</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Fried, Frank, Harris, Shriver &amp; Jacobson LLP</w:t>
      </w:r>
    </w:p>
    <w:p>
      <w:pPr>
        <w:spacing w:after="0" w:line="4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One New York Plaza</w:t>
      </w:r>
    </w:p>
    <w:p>
      <w:pPr>
        <w:spacing w:after="0" w:line="3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New York, NY 10004-1980</w:t>
      </w:r>
    </w:p>
    <w:p>
      <w:pPr>
        <w:spacing w:after="0" w:line="5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(212) 859-8000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1968500</wp:posOffset>
            </wp:positionH>
            <wp:positionV relativeFrom="paragraph">
              <wp:posOffset>105410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9800"/>
          </w:cols>
          <w:pgMar w:left="1440" w:top="1049" w:right="659" w:bottom="1440" w:gutter="0" w:footer="0" w:header="0"/>
        </w:sectPr>
      </w:pPr>
    </w:p>
    <w:bookmarkStart w:id="1" w:name="page2"/>
    <w:bookmarkEnd w:id="1"/>
    <w:p>
      <w:pPr>
        <w:jc w:val="both"/>
        <w:spacing w:after="0" w:line="31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580"/>
          </w:cols>
          <w:pgMar w:left="660" w:top="1003" w:right="659" w:bottom="1440" w:gutter="0" w:footer="0" w:header="0"/>
        </w:sectPr>
      </w:pPr>
    </w:p>
    <w:p>
      <w:pPr>
        <w:spacing w:after="0" w:line="1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ind w:right="380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3"/>
          <w:szCs w:val="13"/>
          <w:color w:val="auto"/>
        </w:rPr>
        <w:t>☒</w:t>
      </w:r>
    </w:p>
    <w:p>
      <w:pPr>
        <w:spacing w:after="0" w:line="164" w:lineRule="exact"/>
        <w:rPr>
          <w:sz w:val="20"/>
          <w:szCs w:val="20"/>
          <w:color w:val="auto"/>
        </w:rPr>
      </w:pPr>
    </w:p>
    <w:p>
      <w:pPr>
        <w:sectPr>
          <w:pgSz w:w="11900" w:h="16838" w:orient="portrait"/>
          <w:cols w:equalWidth="0" w:num="2">
            <w:col w:w="4820" w:space="720"/>
            <w:col w:w="5040"/>
          </w:cols>
          <w:pgMar w:left="660" w:top="1003" w:right="65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140" w:lineRule="exact"/>
        <w:rPr>
          <w:sz w:val="20"/>
          <w:szCs w:val="20"/>
          <w:color w:val="auto"/>
        </w:rPr>
      </w:pPr>
    </w:p>
    <w:p>
      <w:pPr>
        <w:sectPr>
          <w:pgSz w:w="11900" w:h="16838" w:orient="portrait"/>
          <w:cols w:equalWidth="0" w:num="2">
            <w:col w:w="4820" w:space="720"/>
            <w:col w:w="5040"/>
          </w:cols>
          <w:pgMar w:left="660" w:top="1003" w:right="65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67" w:lineRule="exact"/>
        <w:rPr>
          <w:sz w:val="20"/>
          <w:szCs w:val="20"/>
          <w:color w:val="auto"/>
        </w:rPr>
      </w:pPr>
    </w:p>
    <w:p>
      <w:pPr>
        <w:sectPr>
          <w:pgSz w:w="11900" w:h="16838" w:orient="portrait"/>
          <w:cols w:equalWidth="0" w:num="2">
            <w:col w:w="4820" w:space="720"/>
            <w:col w:w="5040"/>
          </w:cols>
          <w:pgMar w:left="660" w:top="1003" w:right="659" w:bottom="1440" w:gutter="0" w:footer="0" w:header="0"/>
          <w:type w:val="continuous"/>
        </w:sectPr>
      </w:pPr>
    </w:p>
    <w:p>
      <w:pPr>
        <w:ind w:right="20"/>
        <w:spacing w:after="0" w:line="33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454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ectPr>
          <w:pgSz w:w="11900" w:h="16838" w:orient="portrait"/>
          <w:cols w:equalWidth="0" w:num="1">
            <w:col w:w="10580"/>
          </w:cols>
          <w:pgMar w:left="660" w:top="1003" w:right="659" w:bottom="1440" w:gutter="0" w:footer="0" w:header="0"/>
          <w:type w:val="continuous"/>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9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At the 2024 annual meeting of the stockholders of LivePerson, Inc. (the “Registrant”), the Registrant’s stockholders approved the amendment and restatement of each of the Registrant’s 2019 Stock Incentive Plan (the “A&amp;R SIP”), which provides for grants of equity awards to eligible employees, officers and directors of the Registrant and its affiliates, and the Registrant’s 2019 Employee Stock Purchase Plan (the “A&amp;R ESPP”), which provides eligible employees with the opportunity to purchase shares of the Registrant’s Common Stock at a discounted price. Under the A&amp;R SIP and the A&amp;R ESPP, the number of shares of Common Stock that may be issued pursuant to the A&amp;R SIP was increased by 4,600,000 shares of Common Stock and the number of shares of Common Stock that may be purchased pursuant to the A&amp;R ESPP was increased by 2,500,000 shares of Common Stock.</w:t>
      </w:r>
    </w:p>
    <w:p>
      <w:pPr>
        <w:spacing w:after="0" w:line="22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compensation committee of the board of directors of the Registrant has approved the amendment and restatement of the Registrant’s 2018 Inducement Plan (the “A&amp;R Inducement Plan”), which provides for grants of equity awards to induce individuals to accept employment with the Registrant and its affiliates. The compensation committee of the board of directors of the Registrant subsequently approved an amendment to the A&amp;R Inducement Plan on December 10, 2024, to increase the number of shares of Common Stock that may be issued pursuant to the A&amp;R Inducement Plan by 2,333,333 shares of Common Stock. This registration statement on Form S-8 (this “Registration Statement”) relates to the additional 4,600,000 shares of Common Stock authorized for future issuance under the A&amp;R SIP, the additional 2,500,000 shares of Common Stock authorized for future purchase under the A&amp;R ESPP and the additional 2,333,333 shares of Common Stock authorized for future issuance under the A&amp;R Inducement Plan.</w:t>
      </w:r>
    </w:p>
    <w:p>
      <w:pPr>
        <w:spacing w:after="0" w:line="21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Pursuant to General Instruction E to Form S-8, the contents of the registration statements on Form S-8 with respect to each of: (i) the A&amp;R SIP filed with the Securities and Exchange Commission (the “Commission”) on November 13, 2019 (File No. 333-234676), August 14, 2020 (File No. 333-245808), August 6, 2021 (File No. 333-258578), November 16, 2021 (File No. 333-261121) and November 17, 2023 (File No. 333-275611), (ii) the A&amp;R ESPP filed with the Commission on November 13, 2019 (File No. 333-234676) and November 17, 2023 (File No. 333-275611) and (iii) the A&amp;R Inducement Plan filed with the Commission on March 30, 2018 (File No. 333-224059), February 1, 2019 (File No. 333-229495), November 13, 2019 (File No. 333-234676), May 12, 2022 (File No. 333-264897), March 8, 2024 (File No. 333-277807) and June 20, 2024 (File No. 333-280358), including the information contained therein, are hereby incorporated by reference in this Registration Statement, except to the extent supplemented, amended or superseded by the information set forth herein.</w:t>
      </w: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permitted by the rules of the Commission, this Registration Statement omits the information specified in Part I of Form S-8. The documents containing the information specified in Part I will be sent or given to the participants in the A&amp;R SIP, the A&amp;R ESPP and the A&amp;R Inducement Plan, as applicable, and as required by Rule 428(b)(1) under the Securities Act of 1933, as amended (the “Securities Act”). Such documents are not being filed with the Commission as part of this Registration Statement or as prospectuses or prospectus supplements pursuant to Rule 424. These documents and, as applicable, the documents incorporated by reference in this Registration Statement pursuant to General Instruction E to Form S-8, taken together, constitute a prospectus, for the A&amp;R SIP, the A&amp;R ESPP and the A&amp;R Inducement Plan, respectively, in each case, that meets the requirements of Section 10(a) of the Securities Act.</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Incorporation of Documents by Reference.</w:t>
      </w:r>
    </w:p>
    <w:p>
      <w:pPr>
        <w:spacing w:after="0" w:line="29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the Registration Statement by reference:</w:t>
      </w:r>
    </w:p>
    <w:p>
      <w:pPr>
        <w:sectPr>
          <w:pgSz w:w="11900" w:h="16838" w:orient="portrait"/>
          <w:cols w:equalWidth="0" w:num="1">
            <w:col w:w="10920"/>
          </w:cols>
          <w:pgMar w:left="320" w:top="941" w:right="659" w:bottom="1440" w:gutter="0" w:footer="0" w:header="0"/>
        </w:sectPr>
      </w:pPr>
    </w:p>
    <w:bookmarkStart w:id="3" w:name="page4"/>
    <w:bookmarkEnd w:id="3"/>
    <w:p>
      <w:pPr>
        <w:jc w:val="both"/>
        <w:ind w:firstLine="656"/>
        <w:spacing w:after="0" w:line="313" w:lineRule="auto"/>
        <w:tabs>
          <w:tab w:leader="none" w:pos="89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latest annual report filed pursuant to Sections 13(a) or 15(d) of the Exchange Act or the latest prospectus filed pursuant to Rule 424(b) under the Securities Act that contains audited financial statements for the Registrant’s latest fiscal year for which such statements have been filed.</w:t>
      </w:r>
    </w:p>
    <w:p>
      <w:pPr>
        <w:spacing w:after="0" w:line="189" w:lineRule="exact"/>
        <w:rPr>
          <w:rFonts w:ascii="Times New Roman" w:cs="Times New Roman" w:eastAsia="Times New Roman" w:hAnsi="Times New Roman"/>
          <w:sz w:val="18"/>
          <w:szCs w:val="18"/>
          <w:color w:val="auto"/>
        </w:rPr>
      </w:pPr>
    </w:p>
    <w:p>
      <w:pPr>
        <w:ind w:firstLine="656"/>
        <w:spacing w:after="0" w:line="329" w:lineRule="auto"/>
        <w:tabs>
          <w:tab w:leader="none" w:pos="90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Sections 13(a) or 15(d) of the Exchange Act since the end of the fiscal year covered by the Registrant’s documents referred to in (a) above.</w:t>
      </w:r>
    </w:p>
    <w:p>
      <w:pPr>
        <w:spacing w:after="0" w:line="175" w:lineRule="exact"/>
        <w:rPr>
          <w:rFonts w:ascii="Times New Roman" w:cs="Times New Roman" w:eastAsia="Times New Roman" w:hAnsi="Times New Roman"/>
          <w:sz w:val="18"/>
          <w:szCs w:val="18"/>
          <w:color w:val="auto"/>
        </w:rPr>
      </w:pPr>
    </w:p>
    <w:p>
      <w:pPr>
        <w:ind w:right="20" w:firstLine="656"/>
        <w:spacing w:after="0" w:line="329" w:lineRule="auto"/>
        <w:tabs>
          <w:tab w:leader="none" w:pos="90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the Registrant’s registration statement on Form 8-A12G filed with the Commission under the Exchange Act on March 28, 2000, including any amendment or report filed for the purpose of updating such description.</w:t>
      </w:r>
    </w:p>
    <w:p>
      <w:pPr>
        <w:spacing w:after="0" w:line="175" w:lineRule="exact"/>
        <w:rPr>
          <w:rFonts w:ascii="Times New Roman" w:cs="Times New Roman" w:eastAsia="Times New Roman" w:hAnsi="Times New Roman"/>
          <w:sz w:val="18"/>
          <w:szCs w:val="18"/>
          <w:color w:val="auto"/>
        </w:rPr>
      </w:pPr>
    </w:p>
    <w:p>
      <w:pPr>
        <w:ind w:firstLine="656"/>
        <w:spacing w:after="0" w:line="329" w:lineRule="auto"/>
        <w:tabs>
          <w:tab w:leader="none" w:pos="91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Purchase Rights contained in the Registrant’s registration statement on Form 8-A12B filed with the Commission under the Exchange Act on January 22, 2024, including any amendment or report filed for the purpose of updating such description.</w:t>
      </w:r>
    </w:p>
    <w:p>
      <w:pPr>
        <w:spacing w:after="0" w:line="17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the filing of such documents, except as to specific sections of such statements as set forth therein. Unless expressly incorporated into this Registration Statement, a report furnished on Form 8-K prior or subsequent to the date hereof shall not be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7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in effect as of the date hereof (the “Certificate”) provides that, except to the extent prohibited by the Delaware General Corporation Law, as amended (the “DGCL”), the registrant’s directors shall not be personally liable to the registrant or its stockholders for monetary damages for any breach of fiduciary duty as directors of the registrant. Under the DGCL, the directors have a fiduciary duty to the registrant which is not eliminated by this provision of the Certificate and, in appropriate circumstances, equitable remedies such as injunctive or other forms of non-monetary relief will remain available. The registrant has obtained liability insurance for its officers and directors.</w:t>
      </w:r>
    </w:p>
    <w:p>
      <w:pPr>
        <w:spacing w:after="0" w:line="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Section 102 of the DGCL allows a corporation to eliminate the personal liability of directors and officers of a corporation to the corporation or its stockholders for monetary damages for a breach of fiduciary duty as a director or officer, except where the director or officer breached the duty of loyalty, failed to act in good faith, engaged in intentional misconduct or knowingly violated a law or obtained an improper personal benefit, where a director authorized the payment of a dividend or approved a stock repurchase in violation of Delaware corporate law or where an officer is liable in any action</w:t>
      </w:r>
    </w:p>
    <w:p>
      <w:pPr>
        <w:sectPr>
          <w:pgSz w:w="11900" w:h="16838" w:orient="portrait"/>
          <w:cols w:equalWidth="0" w:num="1">
            <w:col w:w="10920"/>
          </w:cols>
          <w:pgMar w:left="320" w:top="1188"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by or in the right of the corporation. The registrant has included such a provision with respect to its directors in the Certificate.</w:t>
      </w:r>
    </w:p>
    <w:p>
      <w:pPr>
        <w:spacing w:after="0" w:line="2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such person is or is threatened to be made a party by reason of such position, if such person shall have acted in good faith and in a manner such person reasonably believed to be in or not opposed to the best interests of the corporation, and, in any criminal proceeding, if such person had no reasonable cause to believe such person’s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w:t>
      </w:r>
    </w:p>
    <w:p>
      <w:pPr>
        <w:spacing w:after="0" w:line="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The registrant has also entered into agreements to indemnify its directors and executive officers, in addition to the indemnification provided for in the Certificate. The registrant believes that these agreements are necessary to attract and retain qualified directors and executive officers. In addition, the registrant has obtained liability insurance for its directors and officers.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ectPr>
          <w:pgSz w:w="11900" w:h="16838" w:orient="portrait"/>
          <w:cols w:equalWidth="0" w:num="1">
            <w:col w:w="10920"/>
          </w:cols>
          <w:pgMar w:left="320" w:top="945" w:right="6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680" w:type="dxa"/>
            <w:vAlign w:val="bottom"/>
            <w:gridSpan w:val="8"/>
            <w:vMerge w:val="restart"/>
          </w:tcPr>
          <w:p>
            <w:pPr>
              <w:ind w:left="21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14"/>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680" w:type="dxa"/>
            <w:vAlign w:val="bottom"/>
            <w:tcBorders>
              <w:bottom w:val="single" w:sz="8" w:color="auto"/>
            </w:tcBorders>
            <w:gridSpan w:val="8"/>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6"/>
        </w:trPr>
        <w:tc>
          <w:tcPr>
            <w:tcW w:w="9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4.1</w:t>
            </w:r>
          </w:p>
        </w:tc>
        <w:tc>
          <w:tcPr>
            <w:tcW w:w="5680" w:type="dxa"/>
            <w:vAlign w:val="bottom"/>
            <w:gridSpan w:val="8"/>
            <w:vMerge w:val="restart"/>
            <w:shd w:val="clear" w:color="auto" w:fill="CCEEFF"/>
          </w:tcPr>
          <w:p>
            <w:pPr>
              <w:spacing w:after="0"/>
              <w:rPr>
                <w:rFonts w:ascii="Times New Roman" w:cs="Times New Roman" w:eastAsia="Times New Roman" w:hAnsi="Times New Roman"/>
                <w:sz w:val="16"/>
                <w:szCs w:val="16"/>
                <w:color w:val="0000FF"/>
              </w:rPr>
            </w:pPr>
            <w:hyperlink r:id="rId14">
              <w:r>
                <w:rPr>
                  <w:rFonts w:ascii="Times New Roman" w:cs="Times New Roman" w:eastAsia="Times New Roman" w:hAnsi="Times New Roman"/>
                  <w:sz w:val="16"/>
                  <w:szCs w:val="16"/>
                  <w:color w:val="0000FF"/>
                </w:rPr>
                <w:t>Fourth Amended and Restated Certificate of Incorporation.</w:t>
              </w:r>
            </w:hyperlink>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10-K</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000-30141</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March 30, 2001</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60" w:type="dxa"/>
            <w:vAlign w:val="bottom"/>
            <w:shd w:val="clear" w:color="auto" w:fill="CCEEFF"/>
          </w:tcPr>
          <w:p>
            <w:pPr>
              <w:spacing w:after="0"/>
              <w:rPr>
                <w:sz w:val="2"/>
                <w:szCs w:val="2"/>
                <w:color w:val="auto"/>
              </w:rPr>
            </w:pPr>
          </w:p>
        </w:tc>
        <w:tc>
          <w:tcPr>
            <w:tcW w:w="5680" w:type="dxa"/>
            <w:vAlign w:val="bottom"/>
            <w:gridSpan w:val="8"/>
            <w:vMerge w:val="continue"/>
            <w:shd w:val="clear" w:color="auto" w:fill="CCEEFF"/>
          </w:tcPr>
          <w:p>
            <w:pPr>
              <w:spacing w:after="0"/>
              <w:rPr>
                <w:sz w:val="2"/>
                <w:szCs w:val="2"/>
                <w:color w:val="auto"/>
              </w:rPr>
            </w:pPr>
          </w:p>
        </w:tc>
        <w:tc>
          <w:tcPr>
            <w:tcW w:w="640" w:type="dxa"/>
            <w:vAlign w:val="bottom"/>
            <w:vMerge w:val="continue"/>
            <w:shd w:val="clear" w:color="auto" w:fill="CCEEFF"/>
          </w:tcPr>
          <w:p>
            <w:pPr>
              <w:spacing w:after="0"/>
              <w:rPr>
                <w:sz w:val="2"/>
                <w:szCs w:val="2"/>
                <w:color w:val="auto"/>
              </w:rPr>
            </w:pPr>
          </w:p>
        </w:tc>
        <w:tc>
          <w:tcPr>
            <w:tcW w:w="940" w:type="dxa"/>
            <w:vAlign w:val="bottom"/>
            <w:vMerge w:val="continue"/>
            <w:shd w:val="clear" w:color="auto" w:fill="CCEEFF"/>
          </w:tcPr>
          <w:p>
            <w:pPr>
              <w:spacing w:after="0"/>
              <w:rPr>
                <w:sz w:val="2"/>
                <w:szCs w:val="2"/>
                <w:color w:val="auto"/>
              </w:rPr>
            </w:pPr>
          </w:p>
        </w:tc>
        <w:tc>
          <w:tcPr>
            <w:tcW w:w="740" w:type="dxa"/>
            <w:vAlign w:val="bottom"/>
            <w:vMerge w:val="continue"/>
            <w:shd w:val="clear" w:color="auto" w:fill="CCEEFF"/>
          </w:tcPr>
          <w:p>
            <w:pPr>
              <w:spacing w:after="0"/>
              <w:rPr>
                <w:sz w:val="2"/>
                <w:szCs w:val="2"/>
                <w:color w:val="auto"/>
              </w:rPr>
            </w:pPr>
          </w:p>
        </w:tc>
        <w:tc>
          <w:tcPr>
            <w:tcW w:w="1360" w:type="dxa"/>
            <w:vAlign w:val="bottom"/>
            <w:vMerge w:val="continue"/>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96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0000FF"/>
            </w:tcBorders>
            <w:shd w:val="clear" w:color="auto" w:fill="CCEEFF"/>
          </w:tcPr>
          <w:p>
            <w:pPr>
              <w:spacing w:after="0"/>
              <w:rPr>
                <w:sz w:val="6"/>
                <w:szCs w:val="6"/>
                <w:color w:val="auto"/>
              </w:rPr>
            </w:pPr>
          </w:p>
        </w:tc>
        <w:tc>
          <w:tcPr>
            <w:tcW w:w="1020" w:type="dxa"/>
            <w:vAlign w:val="bottom"/>
            <w:tcBorders>
              <w:top w:val="single" w:sz="8" w:color="0000FF"/>
            </w:tcBorders>
            <w:shd w:val="clear" w:color="auto" w:fill="CCEEFF"/>
          </w:tcPr>
          <w:p>
            <w:pPr>
              <w:spacing w:after="0"/>
              <w:rPr>
                <w:sz w:val="6"/>
                <w:szCs w:val="6"/>
                <w:color w:val="auto"/>
              </w:rPr>
            </w:pPr>
          </w:p>
        </w:tc>
        <w:tc>
          <w:tcPr>
            <w:tcW w:w="160" w:type="dxa"/>
            <w:vAlign w:val="bottom"/>
            <w:tcBorders>
              <w:top w:val="single" w:sz="8" w:color="0000FF"/>
            </w:tcBorders>
            <w:shd w:val="clear" w:color="auto" w:fill="CCEEFF"/>
          </w:tcPr>
          <w:p>
            <w:pPr>
              <w:spacing w:after="0"/>
              <w:rPr>
                <w:sz w:val="6"/>
                <w:szCs w:val="6"/>
                <w:color w:val="auto"/>
              </w:rPr>
            </w:pPr>
          </w:p>
        </w:tc>
        <w:tc>
          <w:tcPr>
            <w:tcW w:w="420" w:type="dxa"/>
            <w:vAlign w:val="bottom"/>
            <w:tcBorders>
              <w:top w:val="single" w:sz="8" w:color="0000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4.2</w:t>
            </w:r>
          </w:p>
        </w:tc>
        <w:tc>
          <w:tcPr>
            <w:tcW w:w="5020" w:type="dxa"/>
            <w:vAlign w:val="bottom"/>
            <w:gridSpan w:val="5"/>
            <w:vMerge w:val="restart"/>
            <w:shd w:val="clear" w:color="auto" w:fill="CCEEFF"/>
          </w:tcPr>
          <w:p>
            <w:pPr>
              <w:spacing w:after="0"/>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Certificate of Amendment to the Fourth Amended and Restated Certificate of</w:t>
              </w:r>
            </w:hyperlink>
          </w:p>
        </w:tc>
        <w:tc>
          <w:tcPr>
            <w:tcW w:w="660" w:type="dxa"/>
            <w:vAlign w:val="bottom"/>
            <w:gridSpan w:val="3"/>
            <w:vMerge w:val="restart"/>
            <w:shd w:val="clear" w:color="auto" w:fill="CCEEFF"/>
          </w:tcPr>
          <w:p>
            <w:pPr>
              <w:spacing w:after="0"/>
              <w:rPr>
                <w:sz w:val="18"/>
                <w:szCs w:val="18"/>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S-8</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333-</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November 13,</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shd w:val="clear" w:color="auto" w:fill="CCEEFF"/>
          </w:tcPr>
          <w:p>
            <w:pPr>
              <w:spacing w:after="0"/>
              <w:rPr>
                <w:sz w:val="2"/>
                <w:szCs w:val="2"/>
                <w:color w:val="auto"/>
              </w:rPr>
            </w:pPr>
          </w:p>
        </w:tc>
        <w:tc>
          <w:tcPr>
            <w:tcW w:w="5020" w:type="dxa"/>
            <w:vAlign w:val="bottom"/>
            <w:tcBorders>
              <w:bottom w:val="single" w:sz="8" w:color="0000FF"/>
            </w:tcBorders>
            <w:gridSpan w:val="5"/>
            <w:vMerge w:val="continue"/>
            <w:shd w:val="clear" w:color="auto" w:fill="CCEEFF"/>
          </w:tcPr>
          <w:p>
            <w:pPr>
              <w:spacing w:after="0"/>
              <w:rPr>
                <w:sz w:val="2"/>
                <w:szCs w:val="2"/>
                <w:color w:val="auto"/>
              </w:rPr>
            </w:pPr>
          </w:p>
        </w:tc>
        <w:tc>
          <w:tcPr>
            <w:tcW w:w="660" w:type="dxa"/>
            <w:vAlign w:val="bottom"/>
            <w:tcBorders>
              <w:bottom w:val="single" w:sz="8" w:color="CCEEFF"/>
            </w:tcBorders>
            <w:gridSpan w:val="3"/>
            <w:vMerge w:val="continue"/>
            <w:shd w:val="clear" w:color="auto" w:fill="CCEEFF"/>
          </w:tcPr>
          <w:p>
            <w:pPr>
              <w:spacing w:after="0"/>
              <w:rPr>
                <w:sz w:val="2"/>
                <w:szCs w:val="2"/>
                <w:color w:val="auto"/>
              </w:rPr>
            </w:pPr>
          </w:p>
        </w:tc>
        <w:tc>
          <w:tcPr>
            <w:tcW w:w="640" w:type="dxa"/>
            <w:vAlign w:val="bottom"/>
            <w:tcBorders>
              <w:bottom w:val="single" w:sz="8" w:color="CCEEFF"/>
            </w:tcBorders>
            <w:vMerge w:val="continue"/>
            <w:shd w:val="clear" w:color="auto" w:fill="CCEEFF"/>
          </w:tcPr>
          <w:p>
            <w:pPr>
              <w:spacing w:after="0"/>
              <w:rPr>
                <w:sz w:val="2"/>
                <w:szCs w:val="2"/>
                <w:color w:val="auto"/>
              </w:rPr>
            </w:pPr>
          </w:p>
        </w:tc>
        <w:tc>
          <w:tcPr>
            <w:tcW w:w="940" w:type="dxa"/>
            <w:vAlign w:val="bottom"/>
            <w:tcBorders>
              <w:bottom w:val="single" w:sz="8" w:color="CCEEFF"/>
            </w:tcBorders>
            <w:vMerge w:val="continue"/>
            <w:shd w:val="clear" w:color="auto" w:fill="CCEEFF"/>
          </w:tcPr>
          <w:p>
            <w:pPr>
              <w:spacing w:after="0"/>
              <w:rPr>
                <w:sz w:val="2"/>
                <w:szCs w:val="2"/>
                <w:color w:val="auto"/>
              </w:rPr>
            </w:pPr>
          </w:p>
        </w:tc>
        <w:tc>
          <w:tcPr>
            <w:tcW w:w="740" w:type="dxa"/>
            <w:vAlign w:val="bottom"/>
            <w:tcBorders>
              <w:bottom w:val="single" w:sz="8" w:color="CCEEFF"/>
            </w:tcBorders>
            <w:vMerge w:val="continue"/>
            <w:shd w:val="clear" w:color="auto" w:fill="CCEEFF"/>
          </w:tcPr>
          <w:p>
            <w:pPr>
              <w:spacing w:after="0"/>
              <w:rPr>
                <w:sz w:val="2"/>
                <w:szCs w:val="2"/>
                <w:color w:val="auto"/>
              </w:rPr>
            </w:pPr>
          </w:p>
        </w:tc>
        <w:tc>
          <w:tcPr>
            <w:tcW w:w="1360" w:type="dxa"/>
            <w:vAlign w:val="bottom"/>
            <w:tcBorders>
              <w:bottom w:val="single" w:sz="8" w:color="CCEEFF"/>
            </w:tcBorders>
            <w:vMerge w:val="continue"/>
            <w:shd w:val="clear" w:color="auto" w:fill="CCEEFF"/>
          </w:tcPr>
          <w:p>
            <w:pPr>
              <w:spacing w:after="0"/>
              <w:rPr>
                <w:sz w:val="2"/>
                <w:szCs w:val="2"/>
                <w:color w:val="auto"/>
              </w:rPr>
            </w:pPr>
          </w:p>
        </w:tc>
        <w:tc>
          <w:tcPr>
            <w:tcW w:w="9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60" w:type="dxa"/>
            <w:vAlign w:val="bottom"/>
            <w:shd w:val="clear" w:color="auto" w:fill="CCEEFF"/>
          </w:tcPr>
          <w:p>
            <w:pPr>
              <w:spacing w:after="0"/>
              <w:rPr>
                <w:sz w:val="15"/>
                <w:szCs w:val="15"/>
                <w:color w:val="auto"/>
              </w:rPr>
            </w:pPr>
          </w:p>
        </w:tc>
        <w:tc>
          <w:tcPr>
            <w:tcW w:w="5680" w:type="dxa"/>
            <w:vAlign w:val="bottom"/>
            <w:gridSpan w:val="8"/>
            <w:shd w:val="clear" w:color="auto" w:fill="CCEEFF"/>
          </w:tcPr>
          <w:p>
            <w:pPr>
              <w:spacing w:after="0" w:line="169" w:lineRule="exact"/>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Incorporation effective as of November 12, 2019).</w:t>
              </w:r>
            </w:hyperlink>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234676</w:t>
            </w:r>
          </w:p>
        </w:tc>
        <w:tc>
          <w:tcPr>
            <w:tcW w:w="740" w:type="dxa"/>
            <w:vAlign w:val="bottom"/>
            <w:shd w:val="clear" w:color="auto" w:fill="CCEEFF"/>
          </w:tcPr>
          <w:p>
            <w:pPr>
              <w:spacing w:after="0"/>
              <w:rPr>
                <w:sz w:val="15"/>
                <w:szCs w:val="15"/>
                <w:color w:val="auto"/>
              </w:rPr>
            </w:pPr>
          </w:p>
        </w:tc>
        <w:tc>
          <w:tcPr>
            <w:tcW w:w="136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6"/>
                <w:szCs w:val="16"/>
                <w:color w:val="auto"/>
              </w:rPr>
              <w:t>2019</w:t>
            </w: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2240" w:type="dxa"/>
            <w:vAlign w:val="bottom"/>
            <w:tcBorders>
              <w:top w:val="single" w:sz="8" w:color="0000FF"/>
            </w:tcBorders>
            <w:shd w:val="clear" w:color="auto" w:fill="CCEEFF"/>
          </w:tcPr>
          <w:p>
            <w:pPr>
              <w:spacing w:after="0"/>
              <w:rPr>
                <w:sz w:val="7"/>
                <w:szCs w:val="7"/>
                <w:color w:val="auto"/>
              </w:rPr>
            </w:pPr>
          </w:p>
        </w:tc>
        <w:tc>
          <w:tcPr>
            <w:tcW w:w="10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4.3</w:t>
            </w:r>
          </w:p>
        </w:tc>
        <w:tc>
          <w:tcPr>
            <w:tcW w:w="5680" w:type="dxa"/>
            <w:vAlign w:val="bottom"/>
            <w:gridSpan w:val="8"/>
            <w:vMerge w:val="restart"/>
            <w:shd w:val="clear" w:color="auto" w:fill="CCEEFF"/>
          </w:tcPr>
          <w:p>
            <w:pPr>
              <w:spacing w:after="0"/>
              <w:rPr>
                <w:rFonts w:ascii="Times New Roman" w:cs="Times New Roman" w:eastAsia="Times New Roman" w:hAnsi="Times New Roman"/>
                <w:sz w:val="16"/>
                <w:szCs w:val="16"/>
                <w:color w:val="0000FF"/>
              </w:rPr>
            </w:pPr>
            <w:hyperlink r:id="rId16">
              <w:r>
                <w:rPr>
                  <w:rFonts w:ascii="Times New Roman" w:cs="Times New Roman" w:eastAsia="Times New Roman" w:hAnsi="Times New Roman"/>
                  <w:sz w:val="16"/>
                  <w:szCs w:val="16"/>
                  <w:color w:val="0000FF"/>
                </w:rPr>
                <w:t>Third Amended and Restated By-Laws, as amended.</w:t>
              </w:r>
            </w:hyperlink>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000-30141</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June 12, 2023</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60" w:type="dxa"/>
            <w:vAlign w:val="bottom"/>
            <w:shd w:val="clear" w:color="auto" w:fill="CCEEFF"/>
          </w:tcPr>
          <w:p>
            <w:pPr>
              <w:spacing w:after="0"/>
              <w:rPr>
                <w:sz w:val="2"/>
                <w:szCs w:val="2"/>
                <w:color w:val="auto"/>
              </w:rPr>
            </w:pPr>
          </w:p>
        </w:tc>
        <w:tc>
          <w:tcPr>
            <w:tcW w:w="5680" w:type="dxa"/>
            <w:vAlign w:val="bottom"/>
            <w:gridSpan w:val="8"/>
            <w:vMerge w:val="continue"/>
            <w:shd w:val="clear" w:color="auto" w:fill="CCEEFF"/>
          </w:tcPr>
          <w:p>
            <w:pPr>
              <w:spacing w:after="0"/>
              <w:rPr>
                <w:sz w:val="2"/>
                <w:szCs w:val="2"/>
                <w:color w:val="auto"/>
              </w:rPr>
            </w:pPr>
          </w:p>
        </w:tc>
        <w:tc>
          <w:tcPr>
            <w:tcW w:w="640" w:type="dxa"/>
            <w:vAlign w:val="bottom"/>
            <w:vMerge w:val="continue"/>
            <w:shd w:val="clear" w:color="auto" w:fill="CCEEFF"/>
          </w:tcPr>
          <w:p>
            <w:pPr>
              <w:spacing w:after="0"/>
              <w:rPr>
                <w:sz w:val="2"/>
                <w:szCs w:val="2"/>
                <w:color w:val="auto"/>
              </w:rPr>
            </w:pPr>
          </w:p>
        </w:tc>
        <w:tc>
          <w:tcPr>
            <w:tcW w:w="940" w:type="dxa"/>
            <w:vAlign w:val="bottom"/>
            <w:vMerge w:val="continue"/>
            <w:shd w:val="clear" w:color="auto" w:fill="CCEEFF"/>
          </w:tcPr>
          <w:p>
            <w:pPr>
              <w:spacing w:after="0"/>
              <w:rPr>
                <w:sz w:val="2"/>
                <w:szCs w:val="2"/>
                <w:color w:val="auto"/>
              </w:rPr>
            </w:pPr>
          </w:p>
        </w:tc>
        <w:tc>
          <w:tcPr>
            <w:tcW w:w="740" w:type="dxa"/>
            <w:vAlign w:val="bottom"/>
            <w:vMerge w:val="continue"/>
            <w:shd w:val="clear" w:color="auto" w:fill="CCEEFF"/>
          </w:tcPr>
          <w:p>
            <w:pPr>
              <w:spacing w:after="0"/>
              <w:rPr>
                <w:sz w:val="2"/>
                <w:szCs w:val="2"/>
                <w:color w:val="auto"/>
              </w:rPr>
            </w:pPr>
          </w:p>
        </w:tc>
        <w:tc>
          <w:tcPr>
            <w:tcW w:w="1360" w:type="dxa"/>
            <w:vAlign w:val="bottom"/>
            <w:vMerge w:val="continue"/>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960" w:type="dxa"/>
            <w:vAlign w:val="bottom"/>
            <w:tcBorders>
              <w:top w:val="single" w:sz="8" w:color="CCEEFF"/>
            </w:tcBorders>
            <w:shd w:val="clear" w:color="auto" w:fill="CCEEFF"/>
          </w:tcPr>
          <w:p>
            <w:pPr>
              <w:spacing w:after="0"/>
              <w:rPr>
                <w:sz w:val="6"/>
                <w:szCs w:val="6"/>
                <w:color w:val="auto"/>
              </w:rPr>
            </w:pPr>
          </w:p>
        </w:tc>
        <w:tc>
          <w:tcPr>
            <w:tcW w:w="2240" w:type="dxa"/>
            <w:vAlign w:val="bottom"/>
            <w:tcBorders>
              <w:top w:val="single" w:sz="8" w:color="0000FF"/>
            </w:tcBorders>
            <w:shd w:val="clear" w:color="auto" w:fill="CCEEFF"/>
          </w:tcPr>
          <w:p>
            <w:pPr>
              <w:spacing w:after="0"/>
              <w:rPr>
                <w:sz w:val="6"/>
                <w:szCs w:val="6"/>
                <w:color w:val="auto"/>
              </w:rPr>
            </w:pPr>
          </w:p>
        </w:tc>
        <w:tc>
          <w:tcPr>
            <w:tcW w:w="1020" w:type="dxa"/>
            <w:vAlign w:val="bottom"/>
            <w:tcBorders>
              <w:top w:val="single" w:sz="8" w:color="0000FF"/>
            </w:tcBorders>
            <w:shd w:val="clear" w:color="auto" w:fill="CCEEFF"/>
          </w:tcPr>
          <w:p>
            <w:pPr>
              <w:spacing w:after="0"/>
              <w:rPr>
                <w:sz w:val="6"/>
                <w:szCs w:val="6"/>
                <w:color w:val="auto"/>
              </w:rPr>
            </w:pPr>
          </w:p>
        </w:tc>
        <w:tc>
          <w:tcPr>
            <w:tcW w:w="160" w:type="dxa"/>
            <w:vAlign w:val="bottom"/>
            <w:tcBorders>
              <w:top w:val="single" w:sz="8" w:color="0000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5540" w:type="dxa"/>
            <w:vAlign w:val="bottom"/>
            <w:gridSpan w:val="7"/>
            <w:vMerge w:val="restart"/>
            <w:shd w:val="clear" w:color="auto" w:fill="CCEEFF"/>
          </w:tcPr>
          <w:p>
            <w:pPr>
              <w:spacing w:after="0"/>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Certificate of Designations of the Series A Junior Participating Preferred Stock of the</w:t>
              </w:r>
            </w:hyperlink>
          </w:p>
        </w:tc>
        <w:tc>
          <w:tcPr>
            <w:tcW w:w="140" w:type="dxa"/>
            <w:vAlign w:val="bottom"/>
            <w:vMerge w:val="restart"/>
            <w:shd w:val="clear" w:color="auto" w:fill="CCEEFF"/>
          </w:tcPr>
          <w:p>
            <w:pPr>
              <w:spacing w:after="0"/>
              <w:rPr>
                <w:sz w:val="18"/>
                <w:szCs w:val="18"/>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000-30141</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3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January 22, 2024</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shd w:val="clear" w:color="auto" w:fill="CCEEFF"/>
          </w:tcPr>
          <w:p>
            <w:pPr>
              <w:spacing w:after="0"/>
              <w:rPr>
                <w:sz w:val="2"/>
                <w:szCs w:val="2"/>
                <w:color w:val="auto"/>
              </w:rPr>
            </w:pPr>
          </w:p>
        </w:tc>
        <w:tc>
          <w:tcPr>
            <w:tcW w:w="5540" w:type="dxa"/>
            <w:vAlign w:val="bottom"/>
            <w:tcBorders>
              <w:bottom w:val="single" w:sz="8" w:color="0000FF"/>
            </w:tcBorders>
            <w:gridSpan w:val="7"/>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40" w:type="dxa"/>
            <w:vAlign w:val="bottom"/>
            <w:tcBorders>
              <w:bottom w:val="single" w:sz="8" w:color="CCEEFF"/>
            </w:tcBorders>
            <w:vMerge w:val="continue"/>
            <w:shd w:val="clear" w:color="auto" w:fill="CCEEFF"/>
          </w:tcPr>
          <w:p>
            <w:pPr>
              <w:spacing w:after="0"/>
              <w:rPr>
                <w:sz w:val="2"/>
                <w:szCs w:val="2"/>
                <w:color w:val="auto"/>
              </w:rPr>
            </w:pPr>
          </w:p>
        </w:tc>
        <w:tc>
          <w:tcPr>
            <w:tcW w:w="940" w:type="dxa"/>
            <w:vAlign w:val="bottom"/>
            <w:tcBorders>
              <w:bottom w:val="single" w:sz="8" w:color="CCEEFF"/>
            </w:tcBorders>
            <w:vMerge w:val="continue"/>
            <w:shd w:val="clear" w:color="auto" w:fill="CCEEFF"/>
          </w:tcPr>
          <w:p>
            <w:pPr>
              <w:spacing w:after="0"/>
              <w:rPr>
                <w:sz w:val="2"/>
                <w:szCs w:val="2"/>
                <w:color w:val="auto"/>
              </w:rPr>
            </w:pPr>
          </w:p>
        </w:tc>
        <w:tc>
          <w:tcPr>
            <w:tcW w:w="740" w:type="dxa"/>
            <w:vAlign w:val="bottom"/>
            <w:tcBorders>
              <w:bottom w:val="single" w:sz="8" w:color="CCEEFF"/>
            </w:tcBorders>
            <w:vMerge w:val="continue"/>
            <w:shd w:val="clear" w:color="auto" w:fill="CCEEFF"/>
          </w:tcPr>
          <w:p>
            <w:pPr>
              <w:spacing w:after="0"/>
              <w:rPr>
                <w:sz w:val="2"/>
                <w:szCs w:val="2"/>
                <w:color w:val="auto"/>
              </w:rPr>
            </w:pPr>
          </w:p>
        </w:tc>
        <w:tc>
          <w:tcPr>
            <w:tcW w:w="1360" w:type="dxa"/>
            <w:vAlign w:val="bottom"/>
            <w:tcBorders>
              <w:bottom w:val="single" w:sz="8" w:color="CCEEFF"/>
            </w:tcBorders>
            <w:vMerge w:val="continue"/>
            <w:shd w:val="clear" w:color="auto" w:fill="CCEEFF"/>
          </w:tcPr>
          <w:p>
            <w:pPr>
              <w:spacing w:after="0"/>
              <w:rPr>
                <w:sz w:val="2"/>
                <w:szCs w:val="2"/>
                <w:color w:val="auto"/>
              </w:rPr>
            </w:pPr>
          </w:p>
        </w:tc>
        <w:tc>
          <w:tcPr>
            <w:tcW w:w="92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960" w:type="dxa"/>
            <w:vAlign w:val="bottom"/>
            <w:shd w:val="clear" w:color="auto" w:fill="CCEEFF"/>
          </w:tcPr>
          <w:p>
            <w:pPr>
              <w:spacing w:after="0"/>
              <w:rPr>
                <w:sz w:val="15"/>
                <w:szCs w:val="15"/>
                <w:color w:val="auto"/>
              </w:rPr>
            </w:pPr>
          </w:p>
        </w:tc>
        <w:tc>
          <w:tcPr>
            <w:tcW w:w="5680" w:type="dxa"/>
            <w:vAlign w:val="bottom"/>
            <w:gridSpan w:val="8"/>
            <w:shd w:val="clear" w:color="auto" w:fill="CCEEFF"/>
          </w:tcPr>
          <w:p>
            <w:pPr>
              <w:spacing w:after="0" w:line="183" w:lineRule="exact"/>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Company, dated January 22, 2024.</w:t>
              </w:r>
            </w:hyperlink>
          </w:p>
        </w:tc>
        <w:tc>
          <w:tcPr>
            <w:tcW w:w="6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96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0000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5680" w:type="dxa"/>
            <w:vAlign w:val="bottom"/>
            <w:gridSpan w:val="8"/>
            <w:vMerge w:val="restart"/>
          </w:tcPr>
          <w:p>
            <w:pPr>
              <w:spacing w:after="0"/>
              <w:rPr>
                <w:rFonts w:ascii="Times New Roman" w:cs="Times New Roman" w:eastAsia="Times New Roman" w:hAnsi="Times New Roman"/>
                <w:sz w:val="16"/>
                <w:szCs w:val="16"/>
                <w:color w:val="0000FF"/>
              </w:rPr>
            </w:pPr>
            <w:hyperlink r:id="rId18">
              <w:r>
                <w:rPr>
                  <w:rFonts w:ascii="Times New Roman" w:cs="Times New Roman" w:eastAsia="Times New Roman" w:hAnsi="Times New Roman"/>
                  <w:sz w:val="16"/>
                  <w:szCs w:val="16"/>
                  <w:color w:val="0000FF"/>
                </w:rPr>
                <w:t>Tax Benefits Preservation Plan, dated as of January 22, 2024, by and between the</w:t>
              </w:r>
            </w:hyperlink>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001-30141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January 22, 2024</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680" w:type="dxa"/>
            <w:vAlign w:val="bottom"/>
            <w:gridSpan w:val="8"/>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ind w:left="960"/>
        <w:spacing w:after="0"/>
        <w:rPr>
          <w:rFonts w:ascii="Times New Roman" w:cs="Times New Roman" w:eastAsia="Times New Roman" w:hAnsi="Times New Roman"/>
          <w:sz w:val="16"/>
          <w:szCs w:val="16"/>
          <w:u w:val="single" w:color="auto"/>
          <w:color w:val="0000FF"/>
        </w:rPr>
      </w:pPr>
      <w:hyperlink r:id="rId18">
        <w:r>
          <w:rPr>
            <w:rFonts w:ascii="Times New Roman" w:cs="Times New Roman" w:eastAsia="Times New Roman" w:hAnsi="Times New Roman"/>
            <w:sz w:val="16"/>
            <w:szCs w:val="16"/>
            <w:u w:val="single" w:color="auto"/>
            <w:color w:val="0000FF"/>
          </w:rPr>
          <w:t>Company and Equiniti Trust Company, LLC as rights agent (which includes the Form</w:t>
        </w:r>
      </w:hyperlink>
    </w:p>
    <w:p>
      <w:pPr>
        <w:spacing w:after="0" w:line="23" w:lineRule="exact"/>
        <w:rPr>
          <w:sz w:val="20"/>
          <w:szCs w:val="20"/>
          <w:color w:val="auto"/>
        </w:rPr>
      </w:pPr>
    </w:p>
    <w:p>
      <w:pPr>
        <w:ind w:left="960"/>
        <w:spacing w:after="0"/>
        <w:rPr>
          <w:rFonts w:ascii="Times New Roman" w:cs="Times New Roman" w:eastAsia="Times New Roman" w:hAnsi="Times New Roman"/>
          <w:sz w:val="16"/>
          <w:szCs w:val="16"/>
          <w:u w:val="single" w:color="auto"/>
          <w:color w:val="0000FF"/>
        </w:rPr>
      </w:pPr>
      <w:hyperlink r:id="rId18">
        <w:r>
          <w:rPr>
            <w:rFonts w:ascii="Times New Roman" w:cs="Times New Roman" w:eastAsia="Times New Roman" w:hAnsi="Times New Roman"/>
            <w:sz w:val="16"/>
            <w:szCs w:val="16"/>
            <w:u w:val="single" w:color="auto"/>
            <w:color w:val="0000FF"/>
          </w:rPr>
          <w:t>of Rights Certificate as Exhibit B thereto).</w:t>
        </w:r>
      </w:hyperlink>
    </w:p>
    <w:p>
      <w:pPr>
        <w:sectPr>
          <w:pgSz w:w="11900" w:h="16838" w:orient="portrait"/>
          <w:cols w:equalWidth="0" w:num="1">
            <w:col w:w="11240"/>
          </w:cols>
          <w:pgMar w:left="320" w:top="1177" w:right="339" w:bottom="1440" w:gutter="0" w:footer="0" w:header="0"/>
        </w:sectPr>
      </w:pP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8"/>
                <w:szCs w:val="18"/>
                <w:color w:val="auto"/>
              </w:rPr>
            </w:pPr>
          </w:p>
        </w:tc>
        <w:tc>
          <w:tcPr>
            <w:tcW w:w="5600" w:type="dxa"/>
            <w:vAlign w:val="bottom"/>
            <w:gridSpan w:val="12"/>
            <w:vMerge w:val="restart"/>
          </w:tcPr>
          <w:p>
            <w:pPr>
              <w:spacing w:after="0"/>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Amendment, dated as of February 16, 2024, to the Tax Benefits Preservation Plan,</w:t>
              </w:r>
            </w:hyperlink>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gridSpan w:val="1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340" w:type="dxa"/>
            <w:vAlign w:val="bottom"/>
            <w:tcBorders>
              <w:top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20">
              <w:r>
                <w:rPr>
                  <w:rFonts w:ascii="Times New Roman" w:cs="Times New Roman" w:eastAsia="Times New Roman" w:hAnsi="Times New Roman"/>
                  <w:sz w:val="16"/>
                  <w:szCs w:val="16"/>
                  <w:color w:val="0000FF"/>
                </w:rPr>
                <w:t>between LivePerson, Inc. and Equiniti Trust Company, LLC.</w:t>
              </w:r>
            </w:hyperlink>
          </w:p>
        </w:tc>
        <w:tc>
          <w:tcPr>
            <w:tcW w:w="2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tcPr>
          <w:p>
            <w:pPr>
              <w:spacing w:after="0"/>
              <w:rPr>
                <w:sz w:val="24"/>
                <w:szCs w:val="24"/>
                <w:color w:val="auto"/>
              </w:rPr>
            </w:pPr>
          </w:p>
        </w:tc>
        <w:tc>
          <w:tcPr>
            <w:tcW w:w="3940" w:type="dxa"/>
            <w:vAlign w:val="bottom"/>
            <w:tcBorders>
              <w:top w:val="single" w:sz="8" w:color="0000FF"/>
            </w:tcBorders>
            <w:gridSpan w:val="5"/>
            <w:vMerge w:val="restart"/>
          </w:tcPr>
          <w:p>
            <w:pPr>
              <w:spacing w:after="0"/>
              <w:rPr>
                <w:sz w:val="20"/>
                <w:szCs w:val="20"/>
                <w:color w:val="auto"/>
              </w:rPr>
            </w:pPr>
            <w:r>
              <w:rPr>
                <w:rFonts w:ascii="Times New Roman" w:cs="Times New Roman" w:eastAsia="Times New Roman" w:hAnsi="Times New Roman"/>
                <w:sz w:val="16"/>
                <w:szCs w:val="16"/>
                <w:color w:val="0000FF"/>
              </w:rPr>
              <w:t>Opinion of Fried, Frank, Harris, Shriver &amp; Jacobson LLP</w:t>
            </w:r>
            <w:r>
              <w:rPr>
                <w:rFonts w:ascii="Times New Roman" w:cs="Times New Roman" w:eastAsia="Times New Roman" w:hAnsi="Times New Roman"/>
                <w:sz w:val="16"/>
                <w:szCs w:val="16"/>
                <w:color w:val="000000"/>
              </w:rPr>
              <w:t>.</w:t>
            </w:r>
          </w:p>
        </w:tc>
        <w:tc>
          <w:tcPr>
            <w:tcW w:w="166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940" w:type="dxa"/>
            <w:vAlign w:val="bottom"/>
            <w:gridSpan w:val="5"/>
            <w:vMerge w:val="continue"/>
          </w:tcPr>
          <w:p>
            <w:pPr>
              <w:spacing w:after="0"/>
              <w:rPr>
                <w:sz w:val="2"/>
                <w:szCs w:val="2"/>
                <w:color w:val="auto"/>
              </w:rPr>
            </w:pPr>
          </w:p>
        </w:tc>
        <w:tc>
          <w:tcPr>
            <w:tcW w:w="166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4"/>
              </w:rPr>
              <w:t>23.1*</w:t>
            </w:r>
          </w:p>
        </w:tc>
        <w:tc>
          <w:tcPr>
            <w:tcW w:w="160" w:type="dxa"/>
            <w:vAlign w:val="bottom"/>
          </w:tcPr>
          <w:p>
            <w:pPr>
              <w:spacing w:after="0"/>
              <w:rPr>
                <w:sz w:val="24"/>
                <w:szCs w:val="24"/>
                <w:color w:val="auto"/>
              </w:rPr>
            </w:pPr>
          </w:p>
        </w:tc>
        <w:tc>
          <w:tcPr>
            <w:tcW w:w="3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Consent of BDO USA, P.C</w:t>
            </w:r>
            <w:r>
              <w:rPr>
                <w:rFonts w:ascii="Times New Roman" w:cs="Times New Roman" w:eastAsia="Times New Roman" w:hAnsi="Times New Roman"/>
                <w:sz w:val="16"/>
                <w:szCs w:val="16"/>
                <w:color w:val="000000"/>
              </w:rPr>
              <w:t>.</w:t>
            </w:r>
          </w:p>
        </w:tc>
        <w:tc>
          <w:tcPr>
            <w:tcW w:w="18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4"/>
              </w:rPr>
              <w:t>23.2*</w:t>
            </w:r>
          </w:p>
        </w:tc>
        <w:tc>
          <w:tcPr>
            <w:tcW w:w="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color w:val="0000FF"/>
              </w:rPr>
              <w:t>Consent of Fried, Frank, Harris, Shriver &amp; Jacobson LLP (included in Exhibit 5.1 to</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gridSpan w:val="1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580" w:type="dxa"/>
            <w:vAlign w:val="bottom"/>
            <w:tcBorders>
              <w:top w:val="single" w:sz="8" w:color="0000FF"/>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FF"/>
              </w:rPr>
              <w:t>this Registration Statement)</w:t>
            </w:r>
            <w:r>
              <w:rPr>
                <w:rFonts w:ascii="Times New Roman" w:cs="Times New Roman" w:eastAsia="Times New Roman" w:hAnsi="Times New Roman"/>
                <w:sz w:val="16"/>
                <w:szCs w:val="16"/>
                <w:color w:val="000000"/>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4"/>
              </w:rPr>
              <w:t>24.1*</w:t>
            </w:r>
          </w:p>
        </w:tc>
        <w:tc>
          <w:tcPr>
            <w:tcW w:w="16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Power of Attorney authorizing signature (on behalf of each officer and director</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tcBorders>
              <w:bottom w:val="single" w:sz="8" w:color="0000FF"/>
            </w:tcBorders>
            <w:gridSpan w:val="6"/>
          </w:tcPr>
          <w:p>
            <w:pPr>
              <w:spacing w:after="0" w:line="183" w:lineRule="exact"/>
              <w:rPr>
                <w:sz w:val="20"/>
                <w:szCs w:val="20"/>
                <w:color w:val="auto"/>
              </w:rPr>
            </w:pPr>
            <w:r>
              <w:rPr>
                <w:rFonts w:ascii="Times New Roman" w:cs="Times New Roman" w:eastAsia="Times New Roman" w:hAnsi="Times New Roman"/>
                <w:sz w:val="16"/>
                <w:szCs w:val="16"/>
                <w:color w:val="0000FF"/>
              </w:rPr>
              <w:t>included on the signature page to this Registration Statement).</w:t>
            </w:r>
          </w:p>
        </w:tc>
        <w:tc>
          <w:tcPr>
            <w:tcW w:w="15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5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99.1</w:t>
            </w:r>
          </w:p>
        </w:tc>
        <w:tc>
          <w:tcPr>
            <w:tcW w:w="160" w:type="dxa"/>
            <w:vAlign w:val="bottom"/>
          </w:tcPr>
          <w:p>
            <w:pPr>
              <w:spacing w:after="0"/>
              <w:rPr>
                <w:sz w:val="24"/>
                <w:szCs w:val="24"/>
                <w:color w:val="auto"/>
              </w:rPr>
            </w:pPr>
          </w:p>
        </w:tc>
        <w:tc>
          <w:tcPr>
            <w:tcW w:w="4360" w:type="dxa"/>
            <w:vAlign w:val="bottom"/>
            <w:gridSpan w:val="7"/>
            <w:vMerge w:val="restart"/>
          </w:tcPr>
          <w:p>
            <w:pPr>
              <w:spacing w:after="0"/>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Amended and Restated LivePerson, Inc. 2019 Stock Incentive Plan</w:t>
              </w:r>
            </w:hyperlink>
          </w:p>
        </w:tc>
        <w:tc>
          <w:tcPr>
            <w:tcW w:w="124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60" w:type="dxa"/>
            <w:vAlign w:val="bottom"/>
            <w:tcBorders>
              <w:bottom w:val="single" w:sz="8" w:color="0000FF"/>
            </w:tcBorders>
            <w:gridSpan w:val="7"/>
            <w:vMerge w:val="continue"/>
          </w:tcPr>
          <w:p>
            <w:pPr>
              <w:spacing w:after="0"/>
              <w:rPr>
                <w:sz w:val="2"/>
                <w:szCs w:val="2"/>
                <w:color w:val="auto"/>
              </w:rPr>
            </w:pPr>
          </w:p>
        </w:tc>
        <w:tc>
          <w:tcPr>
            <w:tcW w:w="12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99.2</w:t>
            </w:r>
          </w:p>
        </w:tc>
        <w:tc>
          <w:tcPr>
            <w:tcW w:w="5760" w:type="dxa"/>
            <w:vAlign w:val="bottom"/>
            <w:gridSpan w:val="13"/>
            <w:vMerge w:val="restart"/>
          </w:tcPr>
          <w:p>
            <w:pPr>
              <w:ind w:left="160"/>
              <w:spacing w:after="0"/>
              <w:rPr>
                <w:rFonts w:ascii="Times New Roman" w:cs="Times New Roman" w:eastAsia="Times New Roman" w:hAnsi="Times New Roman"/>
                <w:sz w:val="16"/>
                <w:szCs w:val="16"/>
                <w:color w:val="0000FF"/>
              </w:rPr>
            </w:pPr>
            <w:hyperlink r:id="rId22">
              <w:r>
                <w:rPr>
                  <w:rFonts w:ascii="Times New Roman" w:cs="Times New Roman" w:eastAsia="Times New Roman" w:hAnsi="Times New Roman"/>
                  <w:sz w:val="16"/>
                  <w:szCs w:val="16"/>
                  <w:color w:val="0000FF"/>
                </w:rPr>
                <w:t>Amended and Restated LivePerson, Inc. 2019 Employee Stock Purchase Plan</w:t>
              </w:r>
            </w:hyperlink>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5760" w:type="dxa"/>
            <w:vAlign w:val="bottom"/>
            <w:gridSpan w:val="1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4"/>
              </w:rPr>
              <w:t>99.3*</w:t>
            </w:r>
          </w:p>
        </w:tc>
        <w:tc>
          <w:tcPr>
            <w:tcW w:w="160" w:type="dxa"/>
            <w:vAlign w:val="bottom"/>
          </w:tcPr>
          <w:p>
            <w:pPr>
              <w:spacing w:after="0"/>
              <w:rPr>
                <w:sz w:val="24"/>
                <w:szCs w:val="24"/>
                <w:color w:val="auto"/>
              </w:rPr>
            </w:pPr>
          </w:p>
        </w:tc>
        <w:tc>
          <w:tcPr>
            <w:tcW w:w="5040" w:type="dxa"/>
            <w:vAlign w:val="bottom"/>
            <w:tcBorders>
              <w:top w:val="single" w:sz="8" w:color="0000FF"/>
            </w:tcBorders>
            <w:gridSpan w:val="8"/>
            <w:vMerge w:val="restart"/>
          </w:tcPr>
          <w:p>
            <w:pPr>
              <w:spacing w:after="0"/>
              <w:rPr>
                <w:sz w:val="20"/>
                <w:szCs w:val="20"/>
                <w:color w:val="auto"/>
              </w:rPr>
            </w:pPr>
            <w:r>
              <w:rPr>
                <w:rFonts w:ascii="Times New Roman" w:cs="Times New Roman" w:eastAsia="Times New Roman" w:hAnsi="Times New Roman"/>
                <w:sz w:val="16"/>
                <w:szCs w:val="16"/>
                <w:color w:val="0000FF"/>
              </w:rPr>
              <w:t>Amended and Restated LivePerson, Inc. 2018 Inducement Plan</w:t>
            </w:r>
          </w:p>
        </w:tc>
        <w:tc>
          <w:tcPr>
            <w:tcW w:w="56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40" w:type="dxa"/>
            <w:vAlign w:val="bottom"/>
            <w:gridSpan w:val="8"/>
            <w:vMerge w:val="continue"/>
          </w:tcPr>
          <w:p>
            <w:pPr>
              <w:spacing w:after="0"/>
              <w:rPr>
                <w:sz w:val="2"/>
                <w:szCs w:val="2"/>
                <w:color w:val="auto"/>
              </w:rPr>
            </w:pPr>
          </w:p>
        </w:tc>
        <w:tc>
          <w:tcPr>
            <w:tcW w:w="5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5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4"/>
              </w:rPr>
              <w:t>99.4*</w:t>
            </w:r>
          </w:p>
        </w:tc>
        <w:tc>
          <w:tcPr>
            <w:tcW w:w="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vMerge w:val="continue"/>
          </w:tcPr>
          <w:p>
            <w:pPr>
              <w:spacing w:after="0"/>
              <w:rPr>
                <w:sz w:val="24"/>
                <w:szCs w:val="24"/>
                <w:color w:val="auto"/>
              </w:rPr>
            </w:pPr>
          </w:p>
        </w:tc>
        <w:tc>
          <w:tcPr>
            <w:tcW w:w="576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0000FF"/>
              </w:rPr>
              <w:t>Amendment to the Amended and Restated LivePerson, Inc. 2018 Inducement Plan</w:t>
            </w:r>
          </w:p>
        </w:tc>
        <w:tc>
          <w:tcPr>
            <w:tcW w:w="0" w:type="dxa"/>
            <w:vAlign w:val="bottom"/>
          </w:tcPr>
          <w:p>
            <w:pPr>
              <w:spacing w:after="0"/>
              <w:rPr>
                <w:sz w:val="1"/>
                <w:szCs w:val="1"/>
                <w:color w:val="auto"/>
              </w:rPr>
            </w:pPr>
          </w:p>
        </w:tc>
      </w:tr>
      <w:tr>
        <w:trPr>
          <w:trHeight w:val="385"/>
        </w:trPr>
        <w:tc>
          <w:tcPr>
            <w:tcW w:w="5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107*</w:t>
            </w:r>
          </w:p>
        </w:tc>
        <w:tc>
          <w:tcPr>
            <w:tcW w:w="160" w:type="dxa"/>
            <w:vAlign w:val="bottom"/>
          </w:tcPr>
          <w:p>
            <w:pPr>
              <w:spacing w:after="0"/>
              <w:rPr>
                <w:sz w:val="24"/>
                <w:szCs w:val="24"/>
                <w:color w:val="auto"/>
              </w:rPr>
            </w:pPr>
          </w:p>
        </w:tc>
        <w:tc>
          <w:tcPr>
            <w:tcW w:w="5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Calculation of Filing Fee Table.</w:t>
            </w: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213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213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13232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001-41926</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7"/>
              </w:rPr>
              <w:t>February 16,</w:t>
            </w:r>
          </w:p>
        </w:tc>
      </w:tr>
      <w:tr>
        <w:trPr>
          <w:trHeight w:val="216"/>
        </w:trPr>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2024</w:t>
            </w:r>
          </w:p>
        </w:tc>
      </w:tr>
    </w:tbl>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X</w:t>
      </w:r>
    </w:p>
    <w:p>
      <w:pPr>
        <w:spacing w:after="0" w:line="2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X</w:t>
      </w:r>
    </w:p>
    <w:p>
      <w:pPr>
        <w:spacing w:after="0" w:line="2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5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X</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001-41926</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10.1</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November 26,</w:t>
            </w:r>
          </w:p>
        </w:tc>
      </w:tr>
      <w:tr>
        <w:trPr>
          <w:trHeight w:val="210"/>
        </w:trPr>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w:t>
            </w:r>
          </w:p>
        </w:tc>
      </w:tr>
      <w:tr>
        <w:trPr>
          <w:trHeight w:val="276"/>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002-41926</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10.2</w:t>
            </w: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November 26,</w:t>
            </w:r>
          </w:p>
        </w:tc>
      </w:tr>
      <w:tr>
        <w:trPr>
          <w:trHeight w:val="210"/>
        </w:trPr>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w:t>
            </w:r>
          </w:p>
        </w:tc>
      </w:tr>
    </w:tbl>
    <w:p>
      <w:pPr>
        <w:spacing w:after="0" w:line="18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X</w:t>
      </w:r>
    </w:p>
    <w:p>
      <w:pPr>
        <w:spacing w:after="0" w:line="2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X</w:t>
      </w:r>
    </w:p>
    <w:p>
      <w:pPr>
        <w:spacing w:after="0" w:line="26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X</w:t>
      </w:r>
    </w:p>
    <w:p>
      <w:pPr>
        <w:spacing w:after="0" w:line="632" w:lineRule="exact"/>
        <w:rPr>
          <w:sz w:val="20"/>
          <w:szCs w:val="20"/>
          <w:color w:val="auto"/>
        </w:rPr>
      </w:pPr>
    </w:p>
    <w:p>
      <w:pPr>
        <w:sectPr>
          <w:pgSz w:w="11900" w:h="16838" w:orient="portrait"/>
          <w:cols w:equalWidth="0" w:num="2">
            <w:col w:w="6560" w:space="280"/>
            <w:col w:w="4400"/>
          </w:cols>
          <w:pgMar w:left="320" w:top="1177" w:right="33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Undertakings</w:t>
      </w:r>
    </w:p>
    <w:p>
      <w:pPr>
        <w:spacing w:after="0" w:line="111"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1200" w:hanging="382"/>
        <w:spacing w:after="0"/>
        <w:tabs>
          <w:tab w:leader="none" w:pos="120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28" w:lineRule="exact"/>
        <w:rPr>
          <w:rFonts w:ascii="Times New Roman" w:cs="Times New Roman" w:eastAsia="Times New Roman" w:hAnsi="Times New Roman"/>
          <w:sz w:val="17"/>
          <w:szCs w:val="17"/>
          <w:color w:val="auto"/>
        </w:rPr>
      </w:pPr>
    </w:p>
    <w:p>
      <w:pPr>
        <w:ind w:left="1660" w:hanging="356"/>
        <w:spacing w:after="0"/>
        <w:tabs>
          <w:tab w:leader="none" w:pos="16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ectPr>
          <w:pgSz w:w="11900" w:h="16838" w:orient="portrait"/>
          <w:cols w:equalWidth="0" w:num="1">
            <w:col w:w="11240"/>
          </w:cols>
          <w:pgMar w:left="320" w:top="1177" w:right="339" w:bottom="1440" w:gutter="0" w:footer="0" w:header="0"/>
          <w:type w:val="continuous"/>
        </w:sectPr>
      </w:pPr>
    </w:p>
    <w:bookmarkStart w:id="6" w:name="page7"/>
    <w:bookmarkEnd w:id="6"/>
    <w:p>
      <w:pPr>
        <w:jc w:val="right"/>
        <w:ind w:left="1628" w:hanging="656"/>
        <w:spacing w:after="0" w:line="289" w:lineRule="auto"/>
        <w:tabs>
          <w:tab w:leader="none" w:pos="13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w:t>
      </w:r>
    </w:p>
    <w:p>
      <w:pPr>
        <w:spacing w:after="0" w:line="1" w:lineRule="exact"/>
        <w:rPr>
          <w:rFonts w:ascii="Times New Roman" w:cs="Times New Roman" w:eastAsia="Times New Roman" w:hAnsi="Times New Roman"/>
          <w:sz w:val="18"/>
          <w:szCs w:val="18"/>
          <w:color w:val="auto"/>
        </w:rPr>
      </w:pPr>
    </w:p>
    <w:p>
      <w:pPr>
        <w:jc w:val="both"/>
        <w:ind w:left="16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the registration statement. Notwithstanding the foregoing, any increase or decrease in volume of securities offered (if the total dollar value of securities offered would not exceed that which was registered) and any deviation from the low or high end</w:t>
      </w:r>
    </w:p>
    <w:p>
      <w:pPr>
        <w:spacing w:after="0" w:line="1" w:lineRule="exact"/>
        <w:rPr>
          <w:rFonts w:ascii="Times New Roman" w:cs="Times New Roman" w:eastAsia="Times New Roman" w:hAnsi="Times New Roman"/>
          <w:sz w:val="18"/>
          <w:szCs w:val="18"/>
          <w:color w:val="auto"/>
        </w:rPr>
      </w:pPr>
    </w:p>
    <w:p>
      <w:pPr>
        <w:jc w:val="both"/>
        <w:ind w:left="1628"/>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spacing w:after="0" w:line="348" w:lineRule="exact"/>
        <w:rPr>
          <w:rFonts w:ascii="Times New Roman" w:cs="Times New Roman" w:eastAsia="Times New Roman" w:hAnsi="Times New Roman"/>
          <w:sz w:val="18"/>
          <w:szCs w:val="18"/>
          <w:color w:val="auto"/>
        </w:rPr>
      </w:pPr>
    </w:p>
    <w:p>
      <w:pPr>
        <w:ind w:left="1628" w:hanging="656"/>
        <w:spacing w:after="0" w:line="313" w:lineRule="auto"/>
        <w:tabs>
          <w:tab w:leader="none" w:pos="14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36"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19" w:lineRule="exact"/>
        <w:rPr>
          <w:sz w:val="20"/>
          <w:szCs w:val="20"/>
          <w:color w:val="auto"/>
        </w:rPr>
      </w:pPr>
    </w:p>
    <w:p>
      <w:pPr>
        <w:jc w:val="both"/>
        <w:ind w:left="968"/>
        <w:spacing w:after="0" w:line="305" w:lineRule="auto"/>
        <w:rPr>
          <w:sz w:val="20"/>
          <w:szCs w:val="20"/>
          <w:color w:val="auto"/>
        </w:rPr>
      </w:pPr>
      <w:r>
        <w:rPr>
          <w:rFonts w:ascii="Times New Roman" w:cs="Times New Roman" w:eastAsia="Times New Roman" w:hAnsi="Times New Roman"/>
          <w:sz w:val="18"/>
          <w:szCs w:val="18"/>
          <w:color w:val="auto"/>
        </w:rPr>
        <w:t>Paragraphs (a)(1)(i) and (a) (1)(ii)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34" w:lineRule="exact"/>
        <w:rPr>
          <w:sz w:val="20"/>
          <w:szCs w:val="20"/>
          <w:color w:val="auto"/>
        </w:rPr>
      </w:pPr>
    </w:p>
    <w:p>
      <w:pPr>
        <w:ind w:left="948" w:hanging="462"/>
        <w:spacing w:after="0"/>
        <w:tabs>
          <w:tab w:leader="none" w:pos="9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w:t>
      </w:r>
    </w:p>
    <w:p>
      <w:pPr>
        <w:spacing w:after="0" w:line="49" w:lineRule="exact"/>
        <w:rPr>
          <w:rFonts w:ascii="Times New Roman" w:cs="Times New Roman" w:eastAsia="Times New Roman" w:hAnsi="Times New Roman"/>
          <w:sz w:val="18"/>
          <w:szCs w:val="18"/>
          <w:color w:val="auto"/>
        </w:rPr>
      </w:pPr>
    </w:p>
    <w:p>
      <w:pPr>
        <w:ind w:left="968"/>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 new registration statement relating to the securities offered therein, and the offering of such securities at that time shall be deemed to be the initial bona fide offering thereof.</w:t>
      </w:r>
    </w:p>
    <w:p>
      <w:pPr>
        <w:spacing w:after="0" w:line="27" w:lineRule="exact"/>
        <w:rPr>
          <w:rFonts w:ascii="Times New Roman" w:cs="Times New Roman" w:eastAsia="Times New Roman" w:hAnsi="Times New Roman"/>
          <w:sz w:val="18"/>
          <w:szCs w:val="18"/>
          <w:color w:val="auto"/>
        </w:rPr>
      </w:pPr>
    </w:p>
    <w:p>
      <w:pPr>
        <w:ind w:left="968" w:hanging="482"/>
        <w:spacing w:after="0" w:line="329" w:lineRule="auto"/>
        <w:tabs>
          <w:tab w:leader="none" w:pos="92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323" w:lineRule="exact"/>
        <w:rPr>
          <w:rFonts w:ascii="Times New Roman" w:cs="Times New Roman" w:eastAsia="Times New Roman" w:hAnsi="Times New Roman"/>
          <w:sz w:val="18"/>
          <w:szCs w:val="18"/>
          <w:color w:val="auto"/>
        </w:rPr>
      </w:pPr>
    </w:p>
    <w:p>
      <w:pPr>
        <w:jc w:val="both"/>
        <w:ind w:left="408" w:hanging="408"/>
        <w:spacing w:after="0" w:line="289" w:lineRule="auto"/>
        <w:tabs>
          <w:tab w:leader="none" w:pos="4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w:t>
      </w:r>
    </w:p>
    <w:p>
      <w:pPr>
        <w:spacing w:after="0" w:line="1" w:lineRule="exact"/>
        <w:rPr>
          <w:rFonts w:ascii="Times New Roman" w:cs="Times New Roman" w:eastAsia="Times New Roman" w:hAnsi="Times New Roman"/>
          <w:sz w:val="18"/>
          <w:szCs w:val="18"/>
          <w:color w:val="auto"/>
        </w:rPr>
      </w:pPr>
    </w:p>
    <w:p>
      <w:pPr>
        <w:jc w:val="both"/>
        <w:ind w:left="408"/>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44"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w:t>
      </w:r>
    </w:p>
    <w:p>
      <w:pPr>
        <w:spacing w:after="0" w:line="49" w:lineRule="exact"/>
        <w:rPr>
          <w:rFonts w:ascii="Times New Roman" w:cs="Times New Roman" w:eastAsia="Times New Roman" w:hAnsi="Times New Roman"/>
          <w:sz w:val="18"/>
          <w:szCs w:val="18"/>
          <w:color w:val="auto"/>
        </w:rPr>
      </w:pPr>
    </w:p>
    <w:p>
      <w:pPr>
        <w:jc w:val="both"/>
        <w:ind w:left="40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w:t>
      </w:r>
    </w:p>
    <w:p>
      <w:pPr>
        <w:spacing w:after="0" w:line="1" w:lineRule="exact"/>
        <w:rPr>
          <w:rFonts w:ascii="Times New Roman" w:cs="Times New Roman" w:eastAsia="Times New Roman" w:hAnsi="Times New Roman"/>
          <w:sz w:val="18"/>
          <w:szCs w:val="18"/>
          <w:color w:val="auto"/>
        </w:rPr>
      </w:pPr>
    </w:p>
    <w:p>
      <w:pPr>
        <w:jc w:val="both"/>
        <w:ind w:left="408"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w:t>
      </w:r>
    </w:p>
    <w:p>
      <w:pPr>
        <w:spacing w:after="0" w:line="1" w:lineRule="exact"/>
        <w:rPr>
          <w:rFonts w:ascii="Times New Roman" w:cs="Times New Roman" w:eastAsia="Times New Roman" w:hAnsi="Times New Roman"/>
          <w:sz w:val="18"/>
          <w:szCs w:val="18"/>
          <w:color w:val="auto"/>
        </w:rPr>
      </w:pPr>
    </w:p>
    <w:p>
      <w:pPr>
        <w:jc w:val="both"/>
        <w:ind w:left="408"/>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908"/>
          </w:cols>
          <w:pgMar w:left="652" w:top="1026" w:right="339" w:bottom="1440" w:gutter="0" w:footer="0" w:header="0"/>
        </w:sectPr>
      </w:pPr>
    </w:p>
    <w:bookmarkStart w:id="7" w:name="page8"/>
    <w:bookmarkEnd w:id="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December 16, 2024.</w:t>
      </w: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10300" w:type="dxa"/>
            <w:vAlign w:val="bottom"/>
            <w:gridSpan w:val="2"/>
          </w:tcPr>
          <w:p>
            <w:pPr>
              <w:ind w:left="5860"/>
              <w:spacing w:after="0"/>
              <w:rPr>
                <w:sz w:val="20"/>
                <w:szCs w:val="20"/>
                <w:color w:val="auto"/>
              </w:rPr>
            </w:pPr>
            <w:r>
              <w:rPr>
                <w:rFonts w:ascii="Times New Roman" w:cs="Times New Roman" w:eastAsia="Times New Roman" w:hAnsi="Times New Roman"/>
                <w:sz w:val="18"/>
                <w:szCs w:val="18"/>
                <w:b w:val="1"/>
                <w:bCs w:val="1"/>
                <w:color w:val="auto"/>
              </w:rPr>
              <w:t>LIVEPERSON, INC.</w:t>
            </w:r>
          </w:p>
        </w:tc>
      </w:tr>
      <w:tr>
        <w:trPr>
          <w:trHeight w:val="28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December 16, 2024</w:t>
            </w:r>
          </w:p>
        </w:tc>
        <w:tc>
          <w:tcPr>
            <w:tcW w:w="3560" w:type="dxa"/>
            <w:vAlign w:val="bottom"/>
          </w:tcPr>
          <w:p>
            <w:pPr>
              <w:spacing w:after="0"/>
              <w:rPr>
                <w:sz w:val="24"/>
                <w:szCs w:val="24"/>
                <w:color w:val="auto"/>
              </w:rPr>
            </w:pPr>
          </w:p>
        </w:tc>
      </w:tr>
      <w:tr>
        <w:trPr>
          <w:trHeight w:val="567"/>
        </w:trPr>
        <w:tc>
          <w:tcPr>
            <w:tcW w:w="674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18"/>
        </w:trPr>
        <w:tc>
          <w:tcPr>
            <w:tcW w:w="6740" w:type="dxa"/>
            <w:vAlign w:val="bottom"/>
          </w:tcPr>
          <w:p>
            <w:pPr>
              <w:ind w:left="5860"/>
              <w:spacing w:after="0"/>
              <w:rPr>
                <w:sz w:val="20"/>
                <w:szCs w:val="20"/>
                <w:color w:val="auto"/>
              </w:rPr>
            </w:pPr>
            <w:r>
              <w:rPr>
                <w:rFonts w:ascii="Times New Roman" w:cs="Times New Roman" w:eastAsia="Times New Roman" w:hAnsi="Times New Roman"/>
                <w:sz w:val="18"/>
                <w:szCs w:val="18"/>
                <w:color w:val="auto"/>
              </w:rPr>
              <w:t>Name:</w:t>
            </w: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Collins</w:t>
            </w:r>
          </w:p>
        </w:tc>
      </w:tr>
      <w:tr>
        <w:trPr>
          <w:trHeight w:val="234"/>
        </w:trPr>
        <w:tc>
          <w:tcPr>
            <w:tcW w:w="674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Operating</w:t>
            </w:r>
          </w:p>
        </w:tc>
      </w:tr>
    </w:tbl>
    <w:p>
      <w:pPr>
        <w:spacing w:after="0" w:line="1" w:lineRule="exact"/>
        <w:rPr>
          <w:sz w:val="20"/>
          <w:szCs w:val="20"/>
          <w:color w:val="auto"/>
        </w:rPr>
      </w:pPr>
    </w:p>
    <w:p>
      <w:pPr>
        <w:sectPr>
          <w:pgSz w:w="11900" w:h="16838" w:orient="portrait"/>
          <w:cols w:equalWidth="0" w:num="1">
            <w:col w:w="10900"/>
          </w:cols>
          <w:pgMar w:left="320" w:top="941" w:right="679" w:bottom="1440" w:gutter="0" w:footer="0" w:header="0"/>
        </w:sectPr>
      </w:pPr>
    </w:p>
    <w:p>
      <w:pPr>
        <w:ind w:left="6280"/>
        <w:spacing w:after="0" w:line="197" w:lineRule="auto"/>
        <w:rPr>
          <w:sz w:val="20"/>
          <w:szCs w:val="20"/>
          <w:color w:val="auto"/>
        </w:rPr>
      </w:pPr>
      <w:r>
        <w:rPr>
          <w:rFonts w:ascii="Times New Roman" w:cs="Times New Roman" w:eastAsia="Times New Roman" w:hAnsi="Times New Roman"/>
          <w:sz w:val="10"/>
          <w:szCs w:val="10"/>
          <w:color w:val="auto"/>
        </w:rPr>
        <w:t>Title:</w:t>
      </w:r>
    </w:p>
    <w:p>
      <w:pPr>
        <w:sectPr>
          <w:pgSz w:w="11900" w:h="16838" w:orient="portrait"/>
          <w:cols w:equalWidth="0" w:num="1">
            <w:col w:w="10900"/>
          </w:cols>
          <w:pgMar w:left="320" w:top="941" w:right="679" w:bottom="1440" w:gutter="0" w:footer="0" w:header="0"/>
          <w:type w:val="continuous"/>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97" w:lineRule="exact"/>
        <w:rPr>
          <w:sz w:val="20"/>
          <w:szCs w:val="20"/>
          <w:color w:val="auto"/>
        </w:rPr>
      </w:pPr>
    </w:p>
    <w:p>
      <w:pPr>
        <w:jc w:val="both"/>
        <w:ind w:left="80" w:firstLine="648"/>
        <w:spacing w:after="0" w:line="294" w:lineRule="auto"/>
        <w:rPr>
          <w:sz w:val="20"/>
          <w:szCs w:val="20"/>
          <w:color w:val="auto"/>
        </w:rPr>
      </w:pPr>
      <w:r>
        <w:rPr>
          <w:rFonts w:ascii="Times New Roman" w:cs="Times New Roman" w:eastAsia="Times New Roman" w:hAnsi="Times New Roman"/>
          <w:sz w:val="18"/>
          <w:szCs w:val="18"/>
          <w:color w:val="auto"/>
        </w:rPr>
        <w:t>We, the undersigned officers and directors of LivePerson, Inc. (the “Company”), hereby severally constitute and appoint John Sabino, John Collins, Jeffrey Ford and Monica L. Greenberg, and each of them singly, as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the Company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23" w:lineRule="exact"/>
        <w:rPr>
          <w:sz w:val="20"/>
          <w:szCs w:val="20"/>
          <w:color w:val="auto"/>
        </w:rPr>
      </w:pPr>
    </w:p>
    <w:p>
      <w:pPr>
        <w:jc w:val="both"/>
        <w:ind w:left="80"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660"/>
          </w:cols>
          <w:pgMar w:left="580" w:top="941" w:right="659" w:bottom="1440" w:gutter="0" w:footer="0" w:header="0"/>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00" w:type="dxa"/>
            <w:vAlign w:val="bottom"/>
          </w:tcPr>
          <w:p>
            <w:pPr>
              <w:spacing w:after="0"/>
              <w:rPr>
                <w:sz w:val="22"/>
                <w:szCs w:val="22"/>
                <w:color w:val="auto"/>
              </w:rPr>
            </w:pPr>
          </w:p>
        </w:tc>
        <w:tc>
          <w:tcPr>
            <w:tcW w:w="536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0" w:type="dxa"/>
            <w:vAlign w:val="bottom"/>
          </w:tcPr>
          <w:p>
            <w:pPr>
              <w:spacing w:after="0"/>
              <w:rPr>
                <w:sz w:val="1"/>
                <w:szCs w:val="1"/>
                <w:color w:val="auto"/>
              </w:rPr>
            </w:pPr>
          </w:p>
        </w:tc>
      </w:tr>
      <w:tr>
        <w:trPr>
          <w:trHeight w:val="467"/>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Anthony John Sabino</w:t>
            </w:r>
          </w:p>
        </w:tc>
        <w:tc>
          <w:tcPr>
            <w:tcW w:w="300" w:type="dxa"/>
            <w:vAlign w:val="bottom"/>
          </w:tcPr>
          <w:p>
            <w:pPr>
              <w:spacing w:after="0"/>
              <w:rPr>
                <w:sz w:val="24"/>
                <w:szCs w:val="24"/>
                <w:color w:val="auto"/>
              </w:rPr>
            </w:pPr>
          </w:p>
        </w:tc>
        <w:tc>
          <w:tcPr>
            <w:tcW w:w="53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auto"/>
              </w:rPr>
              <w:t>Chief Executive Officer (Principal Executive Officer) and Director</w:t>
            </w:r>
          </w:p>
        </w:tc>
        <w:tc>
          <w:tcPr>
            <w:tcW w:w="0" w:type="dxa"/>
            <w:vAlign w:val="bottom"/>
          </w:tcPr>
          <w:p>
            <w:pPr>
              <w:spacing w:after="0"/>
              <w:rPr>
                <w:sz w:val="1"/>
                <w:szCs w:val="1"/>
                <w:color w:val="auto"/>
              </w:rPr>
            </w:pPr>
          </w:p>
        </w:tc>
      </w:tr>
      <w:tr>
        <w:trPr>
          <w:trHeight w:val="56"/>
        </w:trPr>
        <w:tc>
          <w:tcPr>
            <w:tcW w:w="2400" w:type="dxa"/>
            <w:vAlign w:val="bottom"/>
            <w:tcBorders>
              <w:bottom w:val="single" w:sz="8" w:color="auto"/>
            </w:tcBorders>
          </w:tcPr>
          <w:p>
            <w:pPr>
              <w:spacing w:after="0"/>
              <w:rPr>
                <w:sz w:val="4"/>
                <w:szCs w:val="4"/>
                <w:color w:val="auto"/>
              </w:rPr>
            </w:pPr>
          </w:p>
        </w:tc>
        <w:tc>
          <w:tcPr>
            <w:tcW w:w="300" w:type="dxa"/>
            <w:vAlign w:val="bottom"/>
            <w:vMerge w:val="restart"/>
          </w:tcPr>
          <w:p>
            <w:pPr>
              <w:spacing w:after="0"/>
              <w:rPr>
                <w:sz w:val="4"/>
                <w:szCs w:val="4"/>
                <w:color w:val="auto"/>
              </w:rPr>
            </w:pPr>
          </w:p>
        </w:tc>
        <w:tc>
          <w:tcPr>
            <w:tcW w:w="5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Anthony John Sabino</w:t>
            </w:r>
          </w:p>
        </w:tc>
        <w:tc>
          <w:tcPr>
            <w:tcW w:w="300" w:type="dxa"/>
            <w:vAlign w:val="bottom"/>
            <w:vMerge w:val="continue"/>
          </w:tcPr>
          <w:p>
            <w:pPr>
              <w:spacing w:after="0"/>
              <w:rPr>
                <w:sz w:val="7"/>
                <w:szCs w:val="7"/>
                <w:color w:val="auto"/>
              </w:rPr>
            </w:pPr>
          </w:p>
        </w:tc>
        <w:tc>
          <w:tcPr>
            <w:tcW w:w="5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4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Collins</w:t>
            </w:r>
          </w:p>
        </w:tc>
        <w:tc>
          <w:tcPr>
            <w:tcW w:w="30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 (Principal Financial Officer) and Chief Operating</w:t>
            </w:r>
          </w:p>
        </w:tc>
        <w:tc>
          <w:tcPr>
            <w:tcW w:w="0" w:type="dxa"/>
            <w:vAlign w:val="bottom"/>
          </w:tcPr>
          <w:p>
            <w:pPr>
              <w:spacing w:after="0"/>
              <w:rPr>
                <w:sz w:val="1"/>
                <w:szCs w:val="1"/>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Collins</w:t>
            </w:r>
          </w:p>
        </w:tc>
        <w:tc>
          <w:tcPr>
            <w:tcW w:w="300" w:type="dxa"/>
            <w:vAlign w:val="bottom"/>
          </w:tcPr>
          <w:p>
            <w:pPr>
              <w:spacing w:after="0"/>
              <w:rPr>
                <w:sz w:val="18"/>
                <w:szCs w:val="18"/>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Officer</w:t>
            </w:r>
          </w:p>
        </w:tc>
        <w:tc>
          <w:tcPr>
            <w:tcW w:w="0" w:type="dxa"/>
            <w:vAlign w:val="bottom"/>
          </w:tcPr>
          <w:p>
            <w:pPr>
              <w:spacing w:after="0"/>
              <w:rPr>
                <w:sz w:val="1"/>
                <w:szCs w:val="1"/>
                <w:color w:val="auto"/>
              </w:rPr>
            </w:pPr>
          </w:p>
        </w:tc>
      </w:tr>
      <w:tr>
        <w:trPr>
          <w:trHeight w:val="46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Ford</w:t>
            </w:r>
          </w:p>
        </w:tc>
        <w:tc>
          <w:tcPr>
            <w:tcW w:w="30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Senior Vice President and Chief Accounting Officer (Principal Accounting</w:t>
            </w:r>
          </w:p>
        </w:tc>
        <w:tc>
          <w:tcPr>
            <w:tcW w:w="0" w:type="dxa"/>
            <w:vAlign w:val="bottom"/>
          </w:tcPr>
          <w:p>
            <w:pPr>
              <w:spacing w:after="0"/>
              <w:rPr>
                <w:sz w:val="1"/>
                <w:szCs w:val="1"/>
                <w:color w:val="auto"/>
              </w:rPr>
            </w:pPr>
          </w:p>
        </w:tc>
      </w:tr>
      <w:tr>
        <w:trPr>
          <w:trHeight w:val="241"/>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Ford</w:t>
            </w:r>
          </w:p>
        </w:tc>
        <w:tc>
          <w:tcPr>
            <w:tcW w:w="300" w:type="dxa"/>
            <w:vAlign w:val="bottom"/>
          </w:tcPr>
          <w:p>
            <w:pPr>
              <w:spacing w:after="0"/>
              <w:rPr>
                <w:sz w:val="20"/>
                <w:szCs w:val="20"/>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Officer)</w:t>
            </w:r>
          </w:p>
        </w:tc>
        <w:tc>
          <w:tcPr>
            <w:tcW w:w="0" w:type="dxa"/>
            <w:vAlign w:val="bottom"/>
          </w:tcPr>
          <w:p>
            <w:pPr>
              <w:spacing w:after="0"/>
              <w:rPr>
                <w:sz w:val="1"/>
                <w:szCs w:val="1"/>
                <w:color w:val="auto"/>
              </w:rPr>
            </w:pPr>
          </w:p>
        </w:tc>
      </w:tr>
      <w:tr>
        <w:trPr>
          <w:trHeight w:val="40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Bruce Hansen</w:t>
            </w:r>
          </w:p>
        </w:tc>
        <w:tc>
          <w:tcPr>
            <w:tcW w:w="30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Chair of the Board</w:t>
            </w:r>
          </w:p>
        </w:tc>
        <w:tc>
          <w:tcPr>
            <w:tcW w:w="0" w:type="dxa"/>
            <w:vAlign w:val="bottom"/>
          </w:tcPr>
          <w:p>
            <w:pPr>
              <w:spacing w:after="0"/>
              <w:rPr>
                <w:sz w:val="1"/>
                <w:szCs w:val="1"/>
                <w:color w:val="auto"/>
              </w:rPr>
            </w:pP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Bruce Hansen</w:t>
            </w:r>
          </w:p>
        </w:tc>
        <w:tc>
          <w:tcPr>
            <w:tcW w:w="3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Dan Fletcher</w:t>
            </w:r>
          </w:p>
        </w:tc>
        <w:tc>
          <w:tcPr>
            <w:tcW w:w="30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Dan Fletcher</w:t>
            </w:r>
          </w:p>
        </w:tc>
        <w:tc>
          <w:tcPr>
            <w:tcW w:w="3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Jill Layfield</w:t>
            </w:r>
          </w:p>
        </w:tc>
        <w:tc>
          <w:tcPr>
            <w:tcW w:w="30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Jill Layfield</w:t>
            </w:r>
          </w:p>
        </w:tc>
        <w:tc>
          <w:tcPr>
            <w:tcW w:w="3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James Miller</w:t>
            </w:r>
          </w:p>
        </w:tc>
        <w:tc>
          <w:tcPr>
            <w:tcW w:w="30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James Miller</w:t>
            </w:r>
          </w:p>
        </w:tc>
        <w:tc>
          <w:tcPr>
            <w:tcW w:w="3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Vanessa Pegueros</w:t>
            </w:r>
          </w:p>
        </w:tc>
        <w:tc>
          <w:tcPr>
            <w:tcW w:w="300" w:type="dxa"/>
            <w:vAlign w:val="bottom"/>
          </w:tcPr>
          <w:p>
            <w:pPr>
              <w:spacing w:after="0"/>
              <w:rPr>
                <w:sz w:val="24"/>
                <w:szCs w:val="24"/>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335"/>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Vanessa Pegueros</w:t>
            </w:r>
          </w:p>
        </w:tc>
        <w:tc>
          <w:tcPr>
            <w:tcW w:w="3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21590</wp:posOffset>
            </wp:positionV>
            <wp:extent cx="1337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1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200" w:lineRule="exact"/>
        <w:rPr>
          <w:sz w:val="20"/>
          <w:szCs w:val="20"/>
          <w:color w:val="auto"/>
        </w:rPr>
      </w:pPr>
    </w:p>
    <w:p>
      <w:pPr>
        <w:spacing w:after="0" w:line="3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200" w:lineRule="exact"/>
        <w:rPr>
          <w:sz w:val="20"/>
          <w:szCs w:val="20"/>
          <w:color w:val="auto"/>
        </w:rPr>
      </w:pPr>
    </w:p>
    <w:p>
      <w:pPr>
        <w:spacing w:after="0" w:line="30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200" w:lineRule="exact"/>
        <w:rPr>
          <w:sz w:val="20"/>
          <w:szCs w:val="20"/>
          <w:color w:val="auto"/>
        </w:rPr>
      </w:pPr>
    </w:p>
    <w:p>
      <w:pPr>
        <w:spacing w:after="0" w:line="26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200" w:lineRule="exact"/>
        <w:rPr>
          <w:sz w:val="20"/>
          <w:szCs w:val="20"/>
          <w:color w:val="auto"/>
        </w:rPr>
      </w:pPr>
    </w:p>
    <w:p>
      <w:pPr>
        <w:spacing w:after="0" w:line="2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200" w:lineRule="exact"/>
        <w:rPr>
          <w:sz w:val="20"/>
          <w:szCs w:val="20"/>
          <w:color w:val="auto"/>
        </w:rPr>
      </w:pPr>
    </w:p>
    <w:p>
      <w:pPr>
        <w:spacing w:after="0" w:line="2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200" w:lineRule="exact"/>
        <w:rPr>
          <w:sz w:val="20"/>
          <w:szCs w:val="20"/>
          <w:color w:val="auto"/>
        </w:rPr>
      </w:pPr>
    </w:p>
    <w:p>
      <w:pPr>
        <w:spacing w:after="0" w:line="2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200" w:lineRule="exact"/>
        <w:rPr>
          <w:sz w:val="20"/>
          <w:szCs w:val="20"/>
          <w:color w:val="auto"/>
        </w:rPr>
      </w:pPr>
    </w:p>
    <w:p>
      <w:pPr>
        <w:spacing w:after="0" w:line="2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December 16, 2024</w:t>
      </w:r>
    </w:p>
    <w:p>
      <w:pPr>
        <w:spacing w:after="0" w:line="591" w:lineRule="exact"/>
        <w:rPr>
          <w:sz w:val="20"/>
          <w:szCs w:val="20"/>
          <w:color w:val="auto"/>
        </w:rPr>
      </w:pPr>
    </w:p>
    <w:p>
      <w:pPr>
        <w:sectPr>
          <w:pgSz w:w="11900" w:h="16838" w:orient="portrait"/>
          <w:cols w:equalWidth="0" w:num="2">
            <w:col w:w="8060" w:space="600"/>
            <w:col w:w="2000"/>
          </w:cols>
          <w:pgMar w:left="580" w:top="941" w:right="65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Karin-Joyce (K.J.) Tjon</w:t>
            </w:r>
          </w:p>
        </w:tc>
        <w:tc>
          <w:tcPr>
            <w:tcW w:w="36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Director</w:t>
            </w:r>
          </w:p>
        </w:tc>
        <w:tc>
          <w:tcPr>
            <w:tcW w:w="398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December 16, 2024</w:t>
            </w:r>
          </w:p>
        </w:tc>
      </w:tr>
      <w:tr>
        <w:trPr>
          <w:trHeight w:val="322"/>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Karin-Joyce (K.J.) Tjon</w:t>
            </w:r>
          </w:p>
        </w:tc>
        <w:tc>
          <w:tcPr>
            <w:tcW w:w="36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35"/>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William G. Wesemann</w:t>
            </w:r>
          </w:p>
        </w:tc>
        <w:tc>
          <w:tcPr>
            <w:tcW w:w="36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Director</w:t>
            </w:r>
          </w:p>
        </w:tc>
        <w:tc>
          <w:tcPr>
            <w:tcW w:w="398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December 16, 2024</w:t>
            </w: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William G. Wesemann</w:t>
            </w:r>
          </w:p>
        </w:tc>
        <w:tc>
          <w:tcPr>
            <w:tcW w:w="3640" w:type="dxa"/>
            <w:vAlign w:val="bottom"/>
          </w:tcPr>
          <w:p>
            <w:pPr>
              <w:spacing w:after="0"/>
              <w:rPr>
                <w:sz w:val="19"/>
                <w:szCs w:val="19"/>
                <w:color w:val="auto"/>
              </w:rPr>
            </w:pPr>
          </w:p>
        </w:tc>
        <w:tc>
          <w:tcPr>
            <w:tcW w:w="3980" w:type="dxa"/>
            <w:vAlign w:val="bottom"/>
          </w:tcPr>
          <w:p>
            <w:pPr>
              <w:spacing w:after="0"/>
              <w:rPr>
                <w:sz w:val="19"/>
                <w:szCs w:val="19"/>
                <w:color w:val="auto"/>
              </w:rPr>
            </w:pPr>
          </w:p>
        </w:tc>
      </w:tr>
    </w:tbl>
    <w:p>
      <w:pPr>
        <w:sectPr>
          <w:pgSz w:w="11900" w:h="16838" w:orient="portrait"/>
          <w:cols w:equalWidth="0" w:num="1">
            <w:col w:w="10660"/>
          </w:cols>
          <w:pgMar w:left="580" w:top="941" w:right="659" w:bottom="1440" w:gutter="0" w:footer="0" w:header="0"/>
          <w:type w:val="continuous"/>
        </w:sectPr>
      </w:pPr>
    </w:p>
    <w:bookmarkStart w:id="9" w:name="page10"/>
    <w:bookmarkEnd w:id="9"/>
    <w:p>
      <w:pPr>
        <w:jc w:val="center"/>
        <w:ind w:right="-327"/>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64"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58"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46"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16"/>
          <w:szCs w:val="16"/>
          <w:b w:val="1"/>
          <w:bCs w:val="1"/>
          <w:color w:val="auto"/>
        </w:rPr>
        <w:t>(Form Type)</w:t>
      </w:r>
    </w:p>
    <w:p>
      <w:pPr>
        <w:spacing w:after="0" w:line="262"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25"/>
          <w:szCs w:val="25"/>
          <w:b w:val="1"/>
          <w:bCs w:val="1"/>
          <w:color w:val="auto"/>
        </w:rPr>
        <w:t>LivePerson, Inc.</w:t>
      </w:r>
    </w:p>
    <w:p>
      <w:pPr>
        <w:spacing w:after="0" w:line="53"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310" w:lineRule="exact"/>
        <w:rPr>
          <w:sz w:val="20"/>
          <w:szCs w:val="20"/>
          <w:color w:val="auto"/>
        </w:rPr>
      </w:pPr>
    </w:p>
    <w:tbl>
      <w:tblPr>
        <w:tblLayout w:type="fixed"/>
        <w:tblInd w:w="398" w:type="dxa"/>
        <w:tblCellMar>
          <w:top w:w="0" w:type="dxa"/>
          <w:left w:w="0" w:type="dxa"/>
          <w:bottom w:w="0" w:type="dxa"/>
          <w:right w:w="0" w:type="dxa"/>
        </w:tblCellMar>
      </w:tblPr>
      <w:tr>
        <w:trPr>
          <w:trHeight w:val="254"/>
        </w:trPr>
        <w:tc>
          <w:tcPr>
            <w:tcW w:w="860" w:type="dxa"/>
            <w:vAlign w:val="bottom"/>
            <w:tcBorders>
              <w:top w:val="single" w:sz="8" w:color="auto"/>
              <w:left w:val="single" w:sz="8" w:color="auto"/>
              <w:right w:val="single" w:sz="8" w:color="auto"/>
            </w:tcBorders>
          </w:tcPr>
          <w:p>
            <w:pPr>
              <w:spacing w:after="0"/>
              <w:rPr>
                <w:sz w:val="22"/>
                <w:szCs w:val="22"/>
                <w:color w:val="auto"/>
              </w:rPr>
            </w:pPr>
          </w:p>
        </w:tc>
        <w:tc>
          <w:tcPr>
            <w:tcW w:w="2200" w:type="dxa"/>
            <w:vAlign w:val="bottom"/>
            <w:tcBorders>
              <w:top w:val="single" w:sz="8" w:color="auto"/>
              <w:right w:val="single" w:sz="8" w:color="auto"/>
            </w:tcBorders>
          </w:tcPr>
          <w:p>
            <w:pPr>
              <w:spacing w:after="0"/>
              <w:rPr>
                <w:sz w:val="22"/>
                <w:szCs w:val="22"/>
                <w:color w:val="auto"/>
              </w:rPr>
            </w:pPr>
          </w:p>
        </w:tc>
        <w:tc>
          <w:tcPr>
            <w:tcW w:w="1040" w:type="dxa"/>
            <w:vAlign w:val="bottom"/>
            <w:tcBorders>
              <w:top w:val="single" w:sz="8" w:color="auto"/>
              <w:right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240" w:type="dxa"/>
            <w:vAlign w:val="bottom"/>
            <w:tcBorders>
              <w:top w:val="single" w:sz="8" w:color="auto"/>
              <w:right w:val="single" w:sz="8" w:color="auto"/>
            </w:tcBorders>
          </w:tcPr>
          <w:p>
            <w:pPr>
              <w:spacing w:after="0"/>
              <w:rPr>
                <w:sz w:val="22"/>
                <w:szCs w:val="22"/>
                <w:color w:val="auto"/>
              </w:rPr>
            </w:pPr>
          </w:p>
        </w:tc>
        <w:tc>
          <w:tcPr>
            <w:tcW w:w="1100" w:type="dxa"/>
            <w:vAlign w:val="bottom"/>
            <w:tcBorders>
              <w:top w:val="single" w:sz="8" w:color="auto"/>
              <w:right w:val="single" w:sz="8" w:color="auto"/>
            </w:tcBorders>
          </w:tcPr>
          <w:p>
            <w:pPr>
              <w:spacing w:after="0"/>
              <w:rPr>
                <w:sz w:val="22"/>
                <w:szCs w:val="22"/>
                <w:color w:val="auto"/>
              </w:rPr>
            </w:pPr>
          </w:p>
        </w:tc>
        <w:tc>
          <w:tcPr>
            <w:tcW w:w="12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1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22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1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0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72"/>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22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Security Class Title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1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Registered </w:t>
            </w:r>
            <w:r>
              <w:rPr>
                <w:rFonts w:ascii="Times New Roman" w:cs="Times New Roman" w:eastAsia="Times New Roman" w:hAnsi="Times New Roman"/>
                <w:sz w:val="21"/>
                <w:szCs w:val="21"/>
                <w:b w:val="1"/>
                <w:bCs w:val="1"/>
                <w:color w:val="auto"/>
                <w:vertAlign w:val="superscript"/>
              </w:rPr>
              <w:t>(1)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1100" w:type="dxa"/>
            <w:vAlign w:val="bottom"/>
            <w:tcBorders>
              <w:bottom w:val="single" w:sz="8" w:color="auto"/>
              <w:right w:val="single" w:sz="8" w:color="auto"/>
            </w:tcBorders>
            <w:vMerge w:val="continue"/>
          </w:tcPr>
          <w:p>
            <w:pPr>
              <w:spacing w:after="0"/>
              <w:rPr>
                <w:sz w:val="23"/>
                <w:szCs w:val="23"/>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Fee</w:t>
            </w:r>
          </w:p>
        </w:tc>
        <w:tc>
          <w:tcPr>
            <w:tcW w:w="0" w:type="dxa"/>
            <w:vAlign w:val="bottom"/>
          </w:tcPr>
          <w:p>
            <w:pPr>
              <w:spacing w:after="0"/>
              <w:rPr>
                <w:sz w:val="1"/>
                <w:szCs w:val="1"/>
                <w:color w:val="auto"/>
              </w:rPr>
            </w:pPr>
          </w:p>
        </w:tc>
      </w:tr>
      <w:tr>
        <w:trPr>
          <w:trHeight w:val="207"/>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220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6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$0.001 par</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457(c)</w:t>
            </w:r>
          </w:p>
        </w:tc>
        <w:tc>
          <w:tcPr>
            <w:tcW w:w="1160" w:type="dxa"/>
            <w:vAlign w:val="bottom"/>
            <w:tcBorders>
              <w:right w:val="single" w:sz="8" w:color="auto"/>
            </w:tcBorders>
          </w:tcPr>
          <w:p>
            <w:pPr>
              <w:ind w:left="100"/>
              <w:spacing w:after="0" w:line="239" w:lineRule="exact"/>
              <w:rPr>
                <w:sz w:val="20"/>
                <w:szCs w:val="20"/>
                <w:color w:val="auto"/>
              </w:rPr>
            </w:pPr>
            <w:r>
              <w:rPr>
                <w:rFonts w:ascii="Times New Roman" w:cs="Times New Roman" w:eastAsia="Times New Roman" w:hAnsi="Times New Roman"/>
                <w:sz w:val="16"/>
                <w:szCs w:val="16"/>
                <w:color w:val="auto"/>
              </w:rPr>
              <w:t>4,600,000</w:t>
            </w:r>
            <w:r>
              <w:rPr>
                <w:rFonts w:ascii="Times New Roman" w:cs="Times New Roman" w:eastAsia="Times New Roman" w:hAnsi="Times New Roman"/>
                <w:sz w:val="21"/>
                <w:szCs w:val="21"/>
                <w:color w:val="auto"/>
                <w:vertAlign w:val="superscript"/>
              </w:rPr>
              <w:t>(2)</w:t>
            </w:r>
          </w:p>
        </w:tc>
        <w:tc>
          <w:tcPr>
            <w:tcW w:w="96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16"/>
                <w:szCs w:val="16"/>
                <w:color w:val="auto"/>
                <w:w w:val="95"/>
              </w:rPr>
              <w:t>$0.81</w:t>
            </w:r>
            <w:r>
              <w:rPr>
                <w:rFonts w:ascii="Times New Roman" w:cs="Times New Roman" w:eastAsia="Times New Roman" w:hAnsi="Times New Roman"/>
                <w:sz w:val="21"/>
                <w:szCs w:val="21"/>
                <w:color w:val="auto"/>
                <w:w w:val="95"/>
                <w:vertAlign w:val="superscript"/>
              </w:rPr>
              <w:t>(3)</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$3,726,000.00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$0.0001531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$570.45</w:t>
            </w:r>
          </w:p>
        </w:tc>
        <w:tc>
          <w:tcPr>
            <w:tcW w:w="0" w:type="dxa"/>
            <w:vAlign w:val="bottom"/>
          </w:tcPr>
          <w:p>
            <w:pPr>
              <w:spacing w:after="0"/>
              <w:rPr>
                <w:sz w:val="1"/>
                <w:szCs w:val="1"/>
                <w:color w:val="auto"/>
              </w:rPr>
            </w:pPr>
          </w:p>
        </w:tc>
      </w:tr>
      <w:tr>
        <w:trPr>
          <w:trHeight w:val="189"/>
        </w:trPr>
        <w:tc>
          <w:tcPr>
            <w:tcW w:w="86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value per share, reserved for</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and Rule</w:t>
            </w:r>
          </w:p>
        </w:tc>
        <w:tc>
          <w:tcPr>
            <w:tcW w:w="11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future issuance under the</w:t>
            </w:r>
          </w:p>
        </w:tc>
        <w:tc>
          <w:tcPr>
            <w:tcW w:w="1040" w:type="dxa"/>
            <w:vAlign w:val="bottom"/>
            <w:tcBorders>
              <w:right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color w:val="auto"/>
              </w:rPr>
              <w:t>457(h)</w:t>
            </w:r>
          </w:p>
        </w:tc>
        <w:tc>
          <w:tcPr>
            <w:tcW w:w="11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Amended and Restated</w:t>
            </w:r>
          </w:p>
        </w:tc>
        <w:tc>
          <w:tcPr>
            <w:tcW w:w="10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LivePerson, Inc. 2019 Stock</w:t>
            </w:r>
          </w:p>
        </w:tc>
        <w:tc>
          <w:tcPr>
            <w:tcW w:w="10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Incentive Plan</w:t>
            </w:r>
          </w:p>
        </w:tc>
        <w:tc>
          <w:tcPr>
            <w:tcW w:w="10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6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$0.001 par</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457(c)</w:t>
            </w:r>
          </w:p>
        </w:tc>
        <w:tc>
          <w:tcPr>
            <w:tcW w:w="116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6"/>
                <w:szCs w:val="16"/>
                <w:color w:val="auto"/>
                <w:w w:val="97"/>
              </w:rPr>
              <w:t>2,500,000</w:t>
            </w:r>
            <w:r>
              <w:rPr>
                <w:rFonts w:ascii="Times New Roman" w:cs="Times New Roman" w:eastAsia="Times New Roman" w:hAnsi="Times New Roman"/>
                <w:sz w:val="21"/>
                <w:szCs w:val="21"/>
                <w:color w:val="auto"/>
                <w:w w:val="97"/>
                <w:vertAlign w:val="superscript"/>
              </w:rPr>
              <w:t>(4)</w:t>
            </w:r>
          </w:p>
        </w:tc>
        <w:tc>
          <w:tcPr>
            <w:tcW w:w="96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6"/>
                <w:szCs w:val="16"/>
                <w:color w:val="auto"/>
                <w:w w:val="95"/>
              </w:rPr>
              <w:t>$0.69</w:t>
            </w:r>
            <w:r>
              <w:rPr>
                <w:rFonts w:ascii="Times New Roman" w:cs="Times New Roman" w:eastAsia="Times New Roman" w:hAnsi="Times New Roman"/>
                <w:sz w:val="21"/>
                <w:szCs w:val="21"/>
                <w:color w:val="auto"/>
                <w:w w:val="95"/>
                <w:vertAlign w:val="superscript"/>
              </w:rPr>
              <w:t>(5)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$1,725,000.00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$0.0001531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$264.10</w:t>
            </w: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value per share, reserved for</w:t>
            </w:r>
          </w:p>
        </w:tc>
        <w:tc>
          <w:tcPr>
            <w:tcW w:w="10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color w:val="auto"/>
              </w:rPr>
              <w:t>and Rule</w:t>
            </w:r>
          </w:p>
        </w:tc>
        <w:tc>
          <w:tcPr>
            <w:tcW w:w="11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restart"/>
          </w:tcPr>
          <w:p>
            <w:pPr>
              <w:jc w:val="right"/>
              <w:ind w:right="244"/>
              <w:spacing w:after="0"/>
              <w:rPr>
                <w:sz w:val="20"/>
                <w:szCs w:val="20"/>
                <w:color w:val="auto"/>
              </w:rPr>
            </w:pPr>
            <w:r>
              <w:rPr>
                <w:rFonts w:ascii="Times New Roman" w:cs="Times New Roman" w:eastAsia="Times New Roman" w:hAnsi="Times New Roman"/>
                <w:sz w:val="16"/>
                <w:szCs w:val="16"/>
                <w:color w:val="auto"/>
              </w:rPr>
              <w:t>457(h)</w:t>
            </w:r>
          </w:p>
        </w:tc>
        <w:tc>
          <w:tcPr>
            <w:tcW w:w="11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86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future purchase under the</w:t>
            </w:r>
          </w:p>
        </w:tc>
        <w:tc>
          <w:tcPr>
            <w:tcW w:w="10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860" w:type="dxa"/>
            <w:vAlign w:val="bottom"/>
            <w:tcBorders>
              <w:left w:val="single" w:sz="8" w:color="auto"/>
              <w:right w:val="single" w:sz="8" w:color="auto"/>
            </w:tcBorders>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2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Amended and Restated</w:t>
            </w:r>
          </w:p>
        </w:tc>
        <w:tc>
          <w:tcPr>
            <w:tcW w:w="10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LivePerson, Inc. 2019 Employee</w:t>
            </w:r>
          </w:p>
        </w:tc>
        <w:tc>
          <w:tcPr>
            <w:tcW w:w="10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10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$0.001 par</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Rule 457(c)</w:t>
            </w:r>
          </w:p>
        </w:tc>
        <w:tc>
          <w:tcPr>
            <w:tcW w:w="116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6"/>
                <w:szCs w:val="16"/>
                <w:color w:val="auto"/>
                <w:w w:val="97"/>
              </w:rPr>
              <w:t>2,333,333</w:t>
            </w:r>
            <w:r>
              <w:rPr>
                <w:rFonts w:ascii="Times New Roman" w:cs="Times New Roman" w:eastAsia="Times New Roman" w:hAnsi="Times New Roman"/>
                <w:sz w:val="21"/>
                <w:szCs w:val="21"/>
                <w:color w:val="auto"/>
                <w:w w:val="97"/>
                <w:vertAlign w:val="superscript"/>
              </w:rPr>
              <w:t>(6)</w:t>
            </w:r>
          </w:p>
        </w:tc>
        <w:tc>
          <w:tcPr>
            <w:tcW w:w="96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6"/>
                <w:szCs w:val="16"/>
                <w:color w:val="auto"/>
                <w:w w:val="95"/>
              </w:rPr>
              <w:t>$0.81</w:t>
            </w:r>
            <w:r>
              <w:rPr>
                <w:rFonts w:ascii="Times New Roman" w:cs="Times New Roman" w:eastAsia="Times New Roman" w:hAnsi="Times New Roman"/>
                <w:sz w:val="21"/>
                <w:szCs w:val="21"/>
                <w:color w:val="auto"/>
                <w:w w:val="95"/>
                <w:vertAlign w:val="superscript"/>
              </w:rPr>
              <w:t>(3)</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$1,889,999.73</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$0.0001531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$289.36</w:t>
            </w: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tcPr>
          <w:p>
            <w:pPr>
              <w:spacing w:after="0"/>
              <w:rPr>
                <w:sz w:val="9"/>
                <w:szCs w:val="9"/>
                <w:color w:val="auto"/>
              </w:rPr>
            </w:pPr>
          </w:p>
        </w:tc>
        <w:tc>
          <w:tcPr>
            <w:tcW w:w="2200" w:type="dxa"/>
            <w:vAlign w:val="bottom"/>
            <w:tcBorders>
              <w:right w:val="single" w:sz="8" w:color="auto"/>
            </w:tcBorders>
          </w:tcPr>
          <w:p>
            <w:pPr>
              <w:ind w:left="20"/>
              <w:spacing w:after="0" w:line="108" w:lineRule="exact"/>
              <w:rPr>
                <w:sz w:val="20"/>
                <w:szCs w:val="20"/>
                <w:color w:val="auto"/>
              </w:rPr>
            </w:pPr>
            <w:r>
              <w:rPr>
                <w:rFonts w:ascii="Times New Roman" w:cs="Times New Roman" w:eastAsia="Times New Roman" w:hAnsi="Times New Roman"/>
                <w:sz w:val="12"/>
                <w:szCs w:val="12"/>
                <w:color w:val="auto"/>
              </w:rPr>
              <w:t>value per share, reserved for</w:t>
            </w:r>
          </w:p>
        </w:tc>
        <w:tc>
          <w:tcPr>
            <w:tcW w:w="10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color w:val="auto"/>
              </w:rPr>
              <w:t>and Rule</w:t>
            </w:r>
          </w:p>
        </w:tc>
        <w:tc>
          <w:tcPr>
            <w:tcW w:w="11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future issuance under the</w:t>
            </w:r>
          </w:p>
        </w:tc>
        <w:tc>
          <w:tcPr>
            <w:tcW w:w="1040" w:type="dxa"/>
            <w:vAlign w:val="bottom"/>
            <w:tcBorders>
              <w:right w:val="single" w:sz="8" w:color="auto"/>
            </w:tcBorders>
          </w:tcPr>
          <w:p>
            <w:pPr>
              <w:jc w:val="right"/>
              <w:ind w:right="244"/>
              <w:spacing w:after="0" w:line="162" w:lineRule="exact"/>
              <w:rPr>
                <w:sz w:val="20"/>
                <w:szCs w:val="20"/>
                <w:color w:val="auto"/>
              </w:rPr>
            </w:pPr>
            <w:r>
              <w:rPr>
                <w:rFonts w:ascii="Times New Roman" w:cs="Times New Roman" w:eastAsia="Times New Roman" w:hAnsi="Times New Roman"/>
                <w:sz w:val="16"/>
                <w:szCs w:val="16"/>
                <w:color w:val="auto"/>
              </w:rPr>
              <w:t>457(h)</w:t>
            </w:r>
          </w:p>
        </w:tc>
        <w:tc>
          <w:tcPr>
            <w:tcW w:w="11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Amended and Restated</w:t>
            </w:r>
          </w:p>
        </w:tc>
        <w:tc>
          <w:tcPr>
            <w:tcW w:w="10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LivePerson, Inc. 2018</w:t>
            </w:r>
          </w:p>
        </w:tc>
        <w:tc>
          <w:tcPr>
            <w:tcW w:w="10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Inducement Plan</w:t>
            </w:r>
          </w:p>
        </w:tc>
        <w:tc>
          <w:tcPr>
            <w:tcW w:w="10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60" w:type="dxa"/>
            <w:vAlign w:val="bottom"/>
            <w:tcBorders>
              <w:left w:val="single" w:sz="8" w:color="auto"/>
              <w:right w:val="single" w:sz="8" w:color="auto"/>
            </w:tcBorders>
          </w:tcPr>
          <w:p>
            <w:pPr>
              <w:spacing w:after="0"/>
              <w:rPr>
                <w:sz w:val="13"/>
                <w:szCs w:val="13"/>
                <w:color w:val="auto"/>
              </w:rPr>
            </w:pPr>
          </w:p>
        </w:tc>
        <w:tc>
          <w:tcPr>
            <w:tcW w:w="2200" w:type="dxa"/>
            <w:vAlign w:val="bottom"/>
            <w:tcBorders>
              <w:right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Rights to purchase Series A</w:t>
            </w:r>
          </w:p>
        </w:tc>
        <w:tc>
          <w:tcPr>
            <w:tcW w:w="1040" w:type="dxa"/>
            <w:vAlign w:val="bottom"/>
            <w:tcBorders>
              <w:right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color w:val="auto"/>
              </w:rPr>
              <w:t>(7)</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(7)</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(7)</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(7)</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3"/>
              </w:rPr>
              <w:t>(7)</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spacing w:after="0"/>
              <w:rPr>
                <w:sz w:val="14"/>
                <w:szCs w:val="14"/>
                <w:color w:val="auto"/>
              </w:rPr>
            </w:pPr>
          </w:p>
        </w:tc>
        <w:tc>
          <w:tcPr>
            <w:tcW w:w="22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Junior Participating Preferred</w:t>
            </w:r>
          </w:p>
        </w:tc>
        <w:tc>
          <w:tcPr>
            <w:tcW w:w="10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0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60" w:type="dxa"/>
            <w:vAlign w:val="bottom"/>
            <w:tcBorders>
              <w:left w:val="single" w:sz="8" w:color="auto"/>
              <w:right w:val="single" w:sz="8" w:color="auto"/>
            </w:tcBorders>
          </w:tcPr>
          <w:p>
            <w:pPr>
              <w:spacing w:after="0"/>
              <w:rPr>
                <w:sz w:val="17"/>
                <w:szCs w:val="17"/>
                <w:color w:val="auto"/>
              </w:rPr>
            </w:pPr>
          </w:p>
        </w:tc>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04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$7,340,999.73</w:t>
            </w:r>
          </w:p>
        </w:tc>
        <w:tc>
          <w:tcPr>
            <w:tcW w:w="1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$1,123.91</w:t>
            </w:r>
          </w:p>
        </w:tc>
        <w:tc>
          <w:tcPr>
            <w:tcW w:w="0" w:type="dxa"/>
            <w:vAlign w:val="bottom"/>
          </w:tcPr>
          <w:p>
            <w:pPr>
              <w:spacing w:after="0"/>
              <w:rPr>
                <w:sz w:val="1"/>
                <w:szCs w:val="1"/>
                <w:color w:val="auto"/>
              </w:rPr>
            </w:pPr>
          </w:p>
        </w:tc>
      </w:tr>
      <w:tr>
        <w:trPr>
          <w:trHeight w:val="54"/>
        </w:trPr>
        <w:tc>
          <w:tcPr>
            <w:tcW w:w="860" w:type="dxa"/>
            <w:vAlign w:val="bottom"/>
            <w:tcBorders>
              <w:left w:val="single" w:sz="8" w:color="auto"/>
              <w:right w:val="single" w:sz="8" w:color="auto"/>
            </w:tcBorders>
          </w:tcPr>
          <w:p>
            <w:pPr>
              <w:spacing w:after="0"/>
              <w:rPr>
                <w:sz w:val="4"/>
                <w:szCs w:val="4"/>
                <w:color w:val="auto"/>
              </w:rPr>
            </w:pPr>
          </w:p>
        </w:tc>
        <w:tc>
          <w:tcPr>
            <w:tcW w:w="220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220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860" w:type="dxa"/>
            <w:vAlign w:val="bottom"/>
            <w:tcBorders>
              <w:left w:val="single" w:sz="8" w:color="auto"/>
              <w:right w:val="single" w:sz="8" w:color="auto"/>
            </w:tcBorders>
          </w:tcPr>
          <w:p>
            <w:pPr>
              <w:spacing w:after="0"/>
              <w:rPr>
                <w:sz w:val="22"/>
                <w:szCs w:val="22"/>
                <w:color w:val="auto"/>
              </w:rPr>
            </w:pPr>
          </w:p>
        </w:tc>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104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220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860" w:type="dxa"/>
            <w:vAlign w:val="bottom"/>
            <w:tcBorders>
              <w:left w:val="single" w:sz="8" w:color="auto"/>
              <w:right w:val="single" w:sz="8" w:color="auto"/>
            </w:tcBorders>
          </w:tcPr>
          <w:p>
            <w:pPr>
              <w:spacing w:after="0"/>
              <w:rPr>
                <w:sz w:val="22"/>
                <w:szCs w:val="22"/>
                <w:color w:val="auto"/>
              </w:rPr>
            </w:pPr>
          </w:p>
        </w:tc>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04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$1,123.91</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220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28" w:right="20" w:hanging="328"/>
        <w:spacing w:after="0" w:line="263" w:lineRule="auto"/>
        <w:tabs>
          <w:tab w:leader="none" w:pos="32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“Securities Act”), the registration statement on Form S-8 (the “Registration Statement”) shall also cover any additional shares of common stock of LivePerson, Inc. (the “Registrant”) that become issuable in respect of the securities identified in the above table by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44" w:lineRule="exact"/>
        <w:rPr>
          <w:rFonts w:ascii="Times New Roman" w:cs="Times New Roman" w:eastAsia="Times New Roman" w:hAnsi="Times New Roman"/>
          <w:sz w:val="16"/>
          <w:szCs w:val="16"/>
          <w:color w:val="auto"/>
        </w:rPr>
      </w:pPr>
    </w:p>
    <w:p>
      <w:pPr>
        <w:ind w:left="328" w:right="20" w:hanging="328"/>
        <w:spacing w:after="0" w:line="298" w:lineRule="auto"/>
        <w:tabs>
          <w:tab w:leader="none" w:pos="32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4,600,000 additional shares of the Registrant’s common stock that were authorized for issuance under the Registrant’s Amended and Restated 2019 Stock Incentive Plan.</w:t>
      </w:r>
    </w:p>
    <w:p>
      <w:pPr>
        <w:spacing w:after="0" w:line="2" w:lineRule="exact"/>
        <w:rPr>
          <w:rFonts w:ascii="Times New Roman" w:cs="Times New Roman" w:eastAsia="Times New Roman" w:hAnsi="Times New Roman"/>
          <w:sz w:val="16"/>
          <w:szCs w:val="16"/>
          <w:color w:val="auto"/>
        </w:rPr>
      </w:pPr>
    </w:p>
    <w:p>
      <w:pPr>
        <w:jc w:val="both"/>
        <w:ind w:left="328" w:hanging="328"/>
        <w:spacing w:after="0" w:line="272" w:lineRule="auto"/>
        <w:tabs>
          <w:tab w:leader="none" w:pos="32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Rules 457(c) and (h) of the Securities Act, solely for the purpose of calculating the registration fee. The proposed maximum offering price per share of $0.81 was computed by averaging the high and low prices of a share of the Registrant’s common stock reported on NASDAQ on December 13, 2024, a date within five business days prior to the date of the filing of this Registration Statement.</w:t>
      </w:r>
    </w:p>
    <w:p>
      <w:pPr>
        <w:sectPr>
          <w:pgSz w:w="11900" w:h="16838" w:orient="portrait"/>
          <w:cols w:equalWidth="0" w:num="1">
            <w:col w:w="10268"/>
          </w:cols>
          <w:pgMar w:left="652" w:top="937" w:right="979" w:bottom="1440" w:gutter="0" w:footer="0" w:header="0"/>
        </w:sectPr>
      </w:pPr>
    </w:p>
    <w:bookmarkStart w:id="10" w:name="page11"/>
    <w:bookmarkEnd w:id="10"/>
    <w:p>
      <w:pPr>
        <w:ind w:left="328" w:right="20" w:hanging="328"/>
        <w:spacing w:after="0" w:line="280" w:lineRule="auto"/>
        <w:tabs>
          <w:tab w:leader="none" w:pos="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2,500,000 additional shares of the Registrant’s common stock that were authorized for purchase under the Registrant’s Amended and Restated 2019 Employee Stock Purchase Plan.</w:t>
      </w:r>
    </w:p>
    <w:p>
      <w:pPr>
        <w:spacing w:after="0" w:line="29" w:lineRule="exact"/>
        <w:rPr>
          <w:rFonts w:ascii="Times New Roman" w:cs="Times New Roman" w:eastAsia="Times New Roman" w:hAnsi="Times New Roman"/>
          <w:sz w:val="16"/>
          <w:szCs w:val="16"/>
          <w:color w:val="auto"/>
        </w:rPr>
      </w:pPr>
    </w:p>
    <w:p>
      <w:pPr>
        <w:jc w:val="both"/>
        <w:ind w:left="328" w:hanging="328"/>
        <w:spacing w:after="0" w:line="263" w:lineRule="auto"/>
        <w:tabs>
          <w:tab w:leader="none" w:pos="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Rules 457(c) and (h) of the Securities Act, solely for the purpose of calculating the registration fee. The proposed maximum offering price per share of $0.69 was computed by averaging the high and low prices of a share of the Registrant’s common stock reported on NASDAQ on December 13, 2024, a date within five business days prior to the date of the filing of this Registration Statement. Under the Registrant’s Amended and Restated 2019 Employee Stock Purchase Plan, the purchase price of a share of common stock is equal to 85% of the fair market value of the Registrant’s common stock on the offering date or the purchase date, whichever is less.</w:t>
      </w:r>
    </w:p>
    <w:p>
      <w:pPr>
        <w:spacing w:after="0" w:line="31" w:lineRule="exact"/>
        <w:rPr>
          <w:rFonts w:ascii="Times New Roman" w:cs="Times New Roman" w:eastAsia="Times New Roman" w:hAnsi="Times New Roman"/>
          <w:sz w:val="16"/>
          <w:szCs w:val="16"/>
          <w:color w:val="auto"/>
        </w:rPr>
      </w:pPr>
    </w:p>
    <w:p>
      <w:pPr>
        <w:ind w:left="328" w:right="20" w:hanging="328"/>
        <w:spacing w:after="0" w:line="298" w:lineRule="auto"/>
        <w:tabs>
          <w:tab w:leader="none" w:pos="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2,333,333 additional shares of the Registrant’s common stock that were authorized for issuance under an amendment to the Registrant’s Amended and Restated 2018 Inducement Plan.</w:t>
      </w:r>
    </w:p>
    <w:p>
      <w:pPr>
        <w:spacing w:after="0" w:line="15" w:lineRule="exact"/>
        <w:rPr>
          <w:rFonts w:ascii="Times New Roman" w:cs="Times New Roman" w:eastAsia="Times New Roman" w:hAnsi="Times New Roman"/>
          <w:sz w:val="16"/>
          <w:szCs w:val="16"/>
          <w:color w:val="auto"/>
        </w:rPr>
      </w:pPr>
    </w:p>
    <w:p>
      <w:pPr>
        <w:jc w:val="both"/>
        <w:ind w:left="328" w:right="20" w:hanging="328"/>
        <w:spacing w:after="0" w:line="263" w:lineRule="auto"/>
        <w:tabs>
          <w:tab w:leader="none" w:pos="32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to purchase Series A Junior Participating Preferred Stock (the “Purchase Rights”) are initially carried with the shares of the Registrant’s common stock. The Preferred Stock Purchase Rights currently cannot trade separately from the underlying Common Stock and the value attributable to such Purchase Rights, if any, is reflected in the market price of the shares of the Registrant’s common stock. Accordingly, the Purchase Rights do not carry a separate price or necessitate an additional registration fee.</w:t>
      </w:r>
    </w:p>
    <w:p>
      <w:pPr>
        <w:sectPr>
          <w:pgSz w:w="11900" w:h="16838" w:orient="portrait"/>
          <w:cols w:equalWidth="0" w:num="1">
            <w:col w:w="10268"/>
          </w:cols>
          <w:pgMar w:left="652" w:top="936" w:right="97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6723380</wp:posOffset>
            </wp:positionH>
            <wp:positionV relativeFrom="page">
              <wp:posOffset>551815</wp:posOffset>
            </wp:positionV>
            <wp:extent cx="617220" cy="822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FRIED, FRANK, HARRIS, SHRIVER &amp; JACOBSON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16, 2024</w:t>
      </w:r>
    </w:p>
    <w:p>
      <w:pPr>
        <w:spacing w:after="0" w:line="2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LivePerson, Inc.</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530 7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Ave., Floor M1</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 LivePerson, Inc. Registration Statement on Form S-8</w:t>
      </w:r>
    </w:p>
    <w:p>
      <w:pPr>
        <w:spacing w:after="0" w:line="3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320" w:lineRule="exact"/>
        <w:rPr>
          <w:sz w:val="20"/>
          <w:szCs w:val="20"/>
          <w:color w:val="auto"/>
        </w:rPr>
      </w:pPr>
    </w:p>
    <w:p>
      <w:pPr>
        <w:jc w:val="both"/>
        <w:ind w:left="980" w:firstLine="648"/>
        <w:spacing w:after="0" w:line="287" w:lineRule="auto"/>
        <w:rPr>
          <w:sz w:val="20"/>
          <w:szCs w:val="20"/>
          <w:color w:val="auto"/>
        </w:rPr>
      </w:pPr>
      <w:r>
        <w:rPr>
          <w:rFonts w:ascii="Times New Roman" w:cs="Times New Roman" w:eastAsia="Times New Roman" w:hAnsi="Times New Roman"/>
          <w:sz w:val="17"/>
          <w:szCs w:val="17"/>
          <w:color w:val="auto"/>
        </w:rPr>
        <w:t>We have acted as counsel to LivePerson, Inc., a Delaware corporation (the “Company”), in connection with the Company’s Registration Statement on Form S-8 (together with any amendments thereto, the “Registration Statement”) filed with the Securities and Exchange Commission (the “Commission”) under the Securities Act of 1933, as amended (the “Securities Act”), relating to the registration of (i) an aggregate of 4,600,000 shares of the Company’s common stock, par value $0.001 per share (the “Common Stock”), together with the rights to Purchase Series A Junior Participating Preferred Stock (the “Rights”) associated therewith, issuable under the LivePerson, Inc. Amended and Restated 2019 Stock Incentive Plan (the “Amended and Restated SIP”); (ii) an aggregate of 2,333,333 shares of Common Stock, together with the Rights associated therewith, issuable under the LivePerson, Inc. Amended and Restated 2018 Inducement Plan (the “Amended and Restated Inducement Plan”); and</w:t>
      </w:r>
    </w:p>
    <w:p>
      <w:pPr>
        <w:spacing w:after="0" w:line="6" w:lineRule="exact"/>
        <w:rPr>
          <w:sz w:val="20"/>
          <w:szCs w:val="20"/>
          <w:color w:val="auto"/>
        </w:rPr>
      </w:pPr>
    </w:p>
    <w:p>
      <w:pPr>
        <w:jc w:val="both"/>
        <w:ind w:left="980"/>
        <w:spacing w:after="0" w:line="274" w:lineRule="auto"/>
        <w:tabs>
          <w:tab w:leader="none" w:pos="13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2,500,000 shares of Common Stock”), together with the Rights associated therewith, issuable under the LivePerson, Inc. Amended and Restated 2019 Employee Stock Purchase Plan (the “Amended and Restated ESPP” and such shares of Common Stock issuable under the Amended and Restated SIP, the Amended and Restated Inducement Plan, and the Amended and Restated ESPP, collectively, the “Shares”). The terms of the Rights are set forth in the Tax Benefits Preservation Plan, dated as of January 22, 2024, between the Company and Equiniti Trust Company, LLC as rights agent, as amended by Amendment No. 1 thereto, dated as of February 16, 2024, to the Tax Benefits Preservation Plan, between LivePerson, Inc. and Equiniti Trust Company, LLC (such Tax Benefits Preservation Plan, as so amended, the “Rights Agreement”). 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215" w:lineRule="exact"/>
        <w:rPr>
          <w:sz w:val="20"/>
          <w:szCs w:val="20"/>
          <w:color w:val="auto"/>
        </w:rPr>
      </w:pPr>
    </w:p>
    <w:p>
      <w:pPr>
        <w:jc w:val="both"/>
        <w:ind w:left="980"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this opinion, we have (i) investigated such questions of law, (ii) examined the originals or certified, conformed,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217" w:lineRule="exact"/>
        <w:rPr>
          <w:sz w:val="20"/>
          <w:szCs w:val="20"/>
          <w:color w:val="auto"/>
        </w:rPr>
      </w:pPr>
    </w:p>
    <w:p>
      <w:pPr>
        <w:jc w:val="both"/>
        <w:ind w:left="980" w:firstLine="648"/>
        <w:spacing w:after="0" w:line="305" w:lineRule="auto"/>
        <w:rPr>
          <w:sz w:val="20"/>
          <w:szCs w:val="20"/>
          <w:color w:val="auto"/>
        </w:rPr>
      </w:pPr>
      <w:r>
        <w:rPr>
          <w:rFonts w:ascii="Times New Roman" w:cs="Times New Roman" w:eastAsia="Times New Roman" w:hAnsi="Times New Roman"/>
          <w:sz w:val="18"/>
          <w:szCs w:val="18"/>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electronic or</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3"/>
          <w:szCs w:val="13"/>
          <w:color w:val="auto"/>
        </w:rPr>
        <w:t>One New York Plaza, New York, New York 10004—1980</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3"/>
          <w:szCs w:val="13"/>
          <w:color w:val="auto"/>
        </w:rPr>
        <w:t xml:space="preserve">T: +1.212.859.8000 </w:t>
      </w:r>
      <w:r>
        <w:rPr>
          <w:rFonts w:ascii="Times New Roman" w:cs="Times New Roman" w:eastAsia="Times New Roman" w:hAnsi="Times New Roman"/>
          <w:sz w:val="13"/>
          <w:szCs w:val="13"/>
          <w:i w:val="1"/>
          <w:iCs w:val="1"/>
          <w:color w:val="auto"/>
        </w:rPr>
        <w:t>friedfrank.com</w:t>
      </w:r>
    </w:p>
    <w:p>
      <w:pPr>
        <w:sectPr>
          <w:pgSz w:w="11900" w:h="16838" w:orient="portrait"/>
          <w:cols w:equalWidth="0" w:num="1">
            <w:col w:w="10260"/>
          </w:cols>
          <w:pgMar w:left="320" w:top="1440" w:right="1319" w:bottom="1440" w:gutter="0" w:footer="0" w:header="0"/>
        </w:sectPr>
      </w:pPr>
    </w:p>
    <w:bookmarkStart w:id="12" w:name="page13"/>
    <w:bookmarkEnd w:id="12"/>
    <w:p>
      <w:pPr>
        <w:ind w:left="680"/>
        <w:spacing w:after="0"/>
        <w:rPr>
          <w:sz w:val="20"/>
          <w:szCs w:val="20"/>
          <w:color w:val="auto"/>
        </w:rPr>
      </w:pPr>
      <w:r>
        <w:rPr>
          <w:rFonts w:ascii="Arial" w:cs="Arial" w:eastAsia="Arial" w:hAnsi="Arial"/>
          <w:sz w:val="14"/>
          <w:szCs w:val="14"/>
          <w:color w:val="auto"/>
        </w:rPr>
        <w:t>FRIED, FRANK, HARRIS, SHRIVER &amp; JACOBSON LLP</w:t>
      </w:r>
    </w:p>
    <w:p>
      <w:pPr>
        <w:spacing w:after="0" w:line="30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December 16, 2024</w:t>
      </w:r>
    </w:p>
    <w:p>
      <w:pPr>
        <w:spacing w:after="0" w:line="6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900"/>
        <w:spacing w:after="0" w:line="302" w:lineRule="auto"/>
        <w:rPr>
          <w:sz w:val="20"/>
          <w:szCs w:val="20"/>
          <w:color w:val="auto"/>
        </w:rPr>
      </w:pPr>
      <w:r>
        <w:rPr>
          <w:rFonts w:ascii="Times New Roman" w:cs="Times New Roman" w:eastAsia="Times New Roman" w:hAnsi="Times New Roman"/>
          <w:sz w:val="18"/>
          <w:szCs w:val="18"/>
          <w:color w:val="auto"/>
        </w:rPr>
        <w:t>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 We have further assumed that the Rights Agreement has been duly authorized, executed and delivered by the Rights Agent.</w:t>
      </w:r>
    </w:p>
    <w:p>
      <w:pPr>
        <w:spacing w:after="0" w:line="214" w:lineRule="exact"/>
        <w:rPr>
          <w:sz w:val="20"/>
          <w:szCs w:val="20"/>
          <w:color w:val="auto"/>
        </w:rPr>
      </w:pPr>
    </w:p>
    <w:p>
      <w:pPr>
        <w:jc w:val="both"/>
        <w:ind w:left="900" w:firstLine="648"/>
        <w:spacing w:after="0" w:line="313" w:lineRule="auto"/>
        <w:rPr>
          <w:sz w:val="20"/>
          <w:szCs w:val="20"/>
          <w:color w:val="auto"/>
        </w:rPr>
      </w:pPr>
      <w:r>
        <w:rPr>
          <w:rFonts w:ascii="Times New Roman" w:cs="Times New Roman" w:eastAsia="Times New Roman" w:hAnsi="Times New Roman"/>
          <w:sz w:val="18"/>
          <w:szCs w:val="18"/>
          <w:color w:val="auto"/>
        </w:rPr>
        <w:t>Based upon the foregoing and subject to the limitations, qualifications and assumptions set forth herein, we are of the opinion that:</w:t>
      </w:r>
    </w:p>
    <w:p>
      <w:pPr>
        <w:spacing w:after="0" w:line="203" w:lineRule="exact"/>
        <w:rPr>
          <w:sz w:val="20"/>
          <w:szCs w:val="20"/>
          <w:color w:val="auto"/>
        </w:rPr>
      </w:pPr>
    </w:p>
    <w:p>
      <w:pPr>
        <w:jc w:val="both"/>
        <w:ind w:left="1880" w:hanging="332"/>
        <w:spacing w:after="0" w:line="289" w:lineRule="auto"/>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registered pursuant to the Registration Statement to be issued by the Company have been duly authorized and, when issued, delivered and paid for in accordance with the terms of the Amended and Restated</w:t>
      </w:r>
    </w:p>
    <w:p>
      <w:pPr>
        <w:spacing w:after="0" w:line="1" w:lineRule="exact"/>
        <w:rPr>
          <w:rFonts w:ascii="Times New Roman" w:cs="Times New Roman" w:eastAsia="Times New Roman" w:hAnsi="Times New Roman"/>
          <w:sz w:val="18"/>
          <w:szCs w:val="18"/>
          <w:color w:val="auto"/>
        </w:rPr>
      </w:pPr>
    </w:p>
    <w:p>
      <w:pPr>
        <w:jc w:val="both"/>
        <w:ind w:left="18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SIP, the Amended and Restated Inducement Plan, and the Amended and Restated ESPP, as applicable, and the applicable award agreement, in the case of Shares issuable under the Amended and Restated SIP and the Amended</w:t>
      </w:r>
    </w:p>
    <w:p>
      <w:pPr>
        <w:spacing w:after="0" w:line="1" w:lineRule="exact"/>
        <w:rPr>
          <w:rFonts w:ascii="Times New Roman" w:cs="Times New Roman" w:eastAsia="Times New Roman" w:hAnsi="Times New Roman"/>
          <w:sz w:val="18"/>
          <w:szCs w:val="18"/>
          <w:color w:val="auto"/>
        </w:rPr>
      </w:pPr>
    </w:p>
    <w:p>
      <w:pPr>
        <w:ind w:left="18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Restated Inducement Plan, in each case for consideration in an amount at least equal to the par value of such Shares, will be validly issued, fully paid and nonassessable.</w:t>
      </w:r>
    </w:p>
    <w:p>
      <w:pPr>
        <w:spacing w:after="0" w:line="202" w:lineRule="exact"/>
        <w:rPr>
          <w:rFonts w:ascii="Times New Roman" w:cs="Times New Roman" w:eastAsia="Times New Roman" w:hAnsi="Times New Roman"/>
          <w:sz w:val="18"/>
          <w:szCs w:val="18"/>
          <w:color w:val="auto"/>
        </w:rPr>
      </w:pPr>
    </w:p>
    <w:p>
      <w:pPr>
        <w:jc w:val="both"/>
        <w:ind w:left="1880" w:hanging="332"/>
        <w:spacing w:after="0" w:line="305" w:lineRule="auto"/>
        <w:tabs>
          <w:tab w:leader="none" w:pos="1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associated with each Share has been duly authorized and will be a valid and legally binding obligation of the Company when (i) such associated Share shall have been duly issued as set forth in paragraph 1 above and (ii) such Right shall have been duly issued in accordance with the terms of the Rights Agreement.</w:t>
      </w:r>
    </w:p>
    <w:p>
      <w:pPr>
        <w:spacing w:after="0" w:line="196" w:lineRule="exact"/>
        <w:rPr>
          <w:sz w:val="20"/>
          <w:szCs w:val="20"/>
          <w:color w:val="auto"/>
        </w:rPr>
      </w:pPr>
    </w:p>
    <w:p>
      <w:pPr>
        <w:jc w:val="both"/>
        <w:ind w:left="900" w:firstLine="648"/>
        <w:spacing w:after="0" w:line="297" w:lineRule="auto"/>
        <w:rPr>
          <w:sz w:val="20"/>
          <w:szCs w:val="20"/>
          <w:color w:val="auto"/>
        </w:rPr>
      </w:pPr>
      <w:r>
        <w:rPr>
          <w:rFonts w:ascii="Times New Roman" w:cs="Times New Roman" w:eastAsia="Times New Roman" w:hAnsi="Times New Roman"/>
          <w:sz w:val="18"/>
          <w:szCs w:val="18"/>
          <w:color w:val="auto"/>
        </w:rPr>
        <w:t>In rendering the opinion in paragraph 2 above, we (i) have further assumed that the members of the board of directors of the Company (the “Board”) have acted in a manner consistent with their fiduciary duties as required under applicable law in adopting the Rights Agreement; and (ii) express no opinion as to the determination that a court of competent jurisdiction may make regarding whether the Board may be required to redeem or terminate, or take other action with respect to, the Rights in the future based on the facts and circumstances then existing. The opinion expressed in paragraph (2) above addresses the Rights and the Rights Agreement in their entirety, and it should be understood that it is not settled whether the invalidity of any particular provision of a rights agreement or the purchase rights issued thereunder would invalidate such rights in their entirety.</w:t>
      </w:r>
    </w:p>
    <w:p>
      <w:pPr>
        <w:spacing w:after="0" w:line="205" w:lineRule="exact"/>
        <w:rPr>
          <w:sz w:val="20"/>
          <w:szCs w:val="20"/>
          <w:color w:val="auto"/>
        </w:rPr>
      </w:pPr>
    </w:p>
    <w:p>
      <w:pPr>
        <w:jc w:val="both"/>
        <w:ind w:left="900" w:firstLine="648"/>
        <w:spacing w:after="0" w:line="297" w:lineRule="auto"/>
        <w:rPr>
          <w:sz w:val="20"/>
          <w:szCs w:val="20"/>
          <w:color w:val="auto"/>
        </w:rPr>
      </w:pPr>
      <w:r>
        <w:rPr>
          <w:rFonts w:ascii="Times New Roman" w:cs="Times New Roman" w:eastAsia="Times New Roman" w:hAnsi="Times New Roman"/>
          <w:sz w:val="18"/>
          <w:szCs w:val="18"/>
          <w:color w:val="auto"/>
        </w:rPr>
        <w:t>The opinions expressed herein are limited to the applicable provisions of the General Corporation Law of the State of Delaware, as currently in effect, and no opinion is expressed with respect to any other laws or any effect that such other laws may have on the opinion expressed herein. The opinions expressed herein are limited to the matters stated herein and no opinion is implied or may be inferred beyond the matters expressly stated herein. We undertake no responsibility to update or supplement this letter after the effectiveness of the Registration Statement.</w:t>
      </w:r>
    </w:p>
    <w:p>
      <w:pPr>
        <w:spacing w:after="0" w:line="218" w:lineRule="exact"/>
        <w:rPr>
          <w:sz w:val="20"/>
          <w:szCs w:val="20"/>
          <w:color w:val="auto"/>
        </w:rPr>
      </w:pPr>
    </w:p>
    <w:p>
      <w:pPr>
        <w:jc w:val="both"/>
        <w:ind w:left="900" w:firstLine="648"/>
        <w:spacing w:after="0" w:line="305"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hereby admit that we are in the category of persons whose consent is required under Section 7 of the Securities Act or the rules and regulations of the Commission.</w:t>
      </w: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One New York Plaza, New York, New York 10004—1980</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 +1.212.859.8000 </w:t>
      </w:r>
      <w:r>
        <w:rPr>
          <w:rFonts w:ascii="Times New Roman" w:cs="Times New Roman" w:eastAsia="Times New Roman" w:hAnsi="Times New Roman"/>
          <w:sz w:val="13"/>
          <w:szCs w:val="13"/>
          <w:i w:val="1"/>
          <w:iCs w:val="1"/>
          <w:color w:val="auto"/>
        </w:rPr>
        <w:t>friedfrank.com</w:t>
      </w:r>
    </w:p>
    <w:p>
      <w:pPr>
        <w:sectPr>
          <w:pgSz w:w="11900" w:h="16838" w:orient="portrait"/>
          <w:cols w:equalWidth="0" w:num="1">
            <w:col w:w="10180"/>
          </w:cols>
          <w:pgMar w:left="400" w:top="1102" w:right="1319" w:bottom="1440" w:gutter="0" w:footer="0" w:header="0"/>
        </w:sectPr>
      </w:pPr>
    </w:p>
    <w:bookmarkStart w:id="13" w:name="page14"/>
    <w:bookmarkEnd w:id="13"/>
    <w:p>
      <w:pPr>
        <w:ind w:left="680"/>
        <w:spacing w:after="0"/>
        <w:rPr>
          <w:sz w:val="20"/>
          <w:szCs w:val="20"/>
          <w:color w:val="auto"/>
        </w:rPr>
      </w:pPr>
      <w:r>
        <w:rPr>
          <w:rFonts w:ascii="Arial" w:cs="Arial" w:eastAsia="Arial" w:hAnsi="Arial"/>
          <w:sz w:val="14"/>
          <w:szCs w:val="14"/>
          <w:color w:val="auto"/>
        </w:rPr>
        <w:t>FRIED, FRANK, HARRIS, SHRIVER &amp; JACOBSON LLP</w:t>
      </w:r>
    </w:p>
    <w:p>
      <w:pPr>
        <w:spacing w:after="0" w:line="30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December 16, 2024</w:t>
      </w:r>
    </w:p>
    <w:p>
      <w:pPr>
        <w:spacing w:after="0" w:line="6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74"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8"/>
          <w:szCs w:val="18"/>
          <w:u w:val="single" w:color="auto"/>
          <w:color w:val="auto"/>
        </w:rPr>
        <w:t>/s/ FRIED, FRANK, HARRIS, SHRIVER &amp; JACOBSON LLP</w:t>
      </w:r>
    </w:p>
    <w:p>
      <w:pPr>
        <w:spacing w:after="0" w:line="279"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One New York Plaza, New York, New York 10004—1980</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 +1.212.859.8000 </w:t>
      </w:r>
      <w:r>
        <w:rPr>
          <w:rFonts w:ascii="Times New Roman" w:cs="Times New Roman" w:eastAsia="Times New Roman" w:hAnsi="Times New Roman"/>
          <w:sz w:val="13"/>
          <w:szCs w:val="13"/>
          <w:i w:val="1"/>
          <w:iCs w:val="1"/>
          <w:color w:val="auto"/>
        </w:rPr>
        <w:t>friedfrank.com</w:t>
      </w:r>
    </w:p>
    <w:p>
      <w:pPr>
        <w:sectPr>
          <w:pgSz w:w="11900" w:h="16838" w:orient="portrait"/>
          <w:cols w:equalWidth="0" w:num="1">
            <w:col w:w="10059"/>
          </w:cols>
          <w:pgMar w:left="400" w:top="1102" w:right="1440" w:bottom="1440" w:gutter="0" w:footer="0" w:header="0"/>
        </w:sectPr>
      </w:pPr>
    </w:p>
    <w:bookmarkStart w:id="14" w:name="page15"/>
    <w:bookmarkEnd w:id="14"/>
    <w:p>
      <w:pPr>
        <w:ind w:left="1700"/>
        <w:spacing w:after="0"/>
        <w:tabs>
          <w:tab w:leader="none" w:pos="2140" w:val="left"/>
        </w:tabs>
        <w:rPr>
          <w:sz w:val="20"/>
          <w:szCs w:val="20"/>
          <w:color w:val="auto"/>
        </w:rPr>
      </w:pPr>
      <w:r>
        <w:rPr>
          <w:rFonts w:ascii="Trebuchet MS" w:cs="Trebuchet MS" w:eastAsia="Trebuchet MS" w:hAnsi="Trebuchet MS"/>
          <w:sz w:val="14"/>
          <w:szCs w:val="14"/>
          <w:color w:val="685040"/>
        </w:rPr>
        <w:t>Tel:</w:t>
      </w:r>
      <w:r>
        <w:rPr>
          <w:sz w:val="20"/>
          <w:szCs w:val="20"/>
          <w:color w:val="auto"/>
        </w:rPr>
        <w:tab/>
      </w:r>
      <w:r>
        <w:rPr>
          <w:rFonts w:ascii="Trebuchet MS" w:cs="Trebuchet MS" w:eastAsia="Trebuchet MS" w:hAnsi="Trebuchet MS"/>
          <w:sz w:val="14"/>
          <w:szCs w:val="14"/>
          <w:color w:val="685040"/>
        </w:rPr>
        <w:t>212-885-8000</w:t>
      </w:r>
    </w:p>
    <w:p>
      <w:pPr>
        <w:ind w:left="1700"/>
        <w:spacing w:after="0" w:line="199" w:lineRule="auto"/>
        <w:tabs>
          <w:tab w:leader="none" w:pos="2160" w:val="left"/>
        </w:tabs>
        <w:rPr>
          <w:sz w:val="20"/>
          <w:szCs w:val="20"/>
          <w:color w:val="auto"/>
        </w:rPr>
      </w:pPr>
      <w:r>
        <w:rPr>
          <w:rFonts w:ascii="Trebuchet MS" w:cs="Trebuchet MS" w:eastAsia="Trebuchet MS" w:hAnsi="Trebuchet MS"/>
          <w:sz w:val="14"/>
          <w:szCs w:val="14"/>
          <w:color w:val="685040"/>
        </w:rPr>
        <w:t>Fax:</w:t>
        <w:tab/>
        <w:t>212-697-1299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-76200</wp:posOffset>
            </wp:positionV>
            <wp:extent cx="771525"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71525" cy="351155"/>
                    </a:xfrm>
                    <a:prstGeom prst="rect">
                      <a:avLst/>
                    </a:prstGeom>
                    <a:noFill/>
                  </pic:spPr>
                </pic:pic>
              </a:graphicData>
            </a:graphic>
          </wp:anchor>
        </w:drawing>
      </w:r>
    </w:p>
    <w:p>
      <w:pPr>
        <w:ind w:left="1700"/>
        <w:spacing w:after="0"/>
        <w:rPr>
          <w:sz w:val="20"/>
          <w:szCs w:val="20"/>
          <w:color w:val="auto"/>
        </w:rPr>
      </w:pPr>
      <w:r>
        <w:rPr>
          <w:rFonts w:ascii="Trebuchet MS" w:cs="Trebuchet MS" w:eastAsia="Trebuchet MS" w:hAnsi="Trebuchet MS"/>
          <w:sz w:val="14"/>
          <w:szCs w:val="14"/>
          <w:b w:val="1"/>
          <w:bCs w:val="1"/>
          <w:color w:val="685040"/>
        </w:rPr>
        <w:t>www.bdo.com</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right"/>
        <w:ind w:right="4800"/>
        <w:spacing w:after="0"/>
        <w:rPr>
          <w:sz w:val="20"/>
          <w:szCs w:val="20"/>
          <w:color w:val="auto"/>
        </w:rPr>
      </w:pPr>
      <w:r>
        <w:rPr>
          <w:rFonts w:ascii="Trebuchet MS" w:cs="Trebuchet MS" w:eastAsia="Trebuchet MS" w:hAnsi="Trebuchet MS"/>
          <w:sz w:val="14"/>
          <w:szCs w:val="14"/>
          <w:color w:val="685040"/>
        </w:rPr>
        <w:t>200 Park Avenue, 38th Floor</w:t>
      </w:r>
    </w:p>
    <w:p>
      <w:pPr>
        <w:jc w:val="right"/>
        <w:ind w:right="4800"/>
        <w:spacing w:after="0"/>
        <w:rPr>
          <w:sz w:val="20"/>
          <w:szCs w:val="20"/>
          <w:color w:val="auto"/>
        </w:rPr>
      </w:pPr>
      <w:r>
        <w:rPr>
          <w:rFonts w:ascii="Trebuchet MS" w:cs="Trebuchet MS" w:eastAsia="Trebuchet MS" w:hAnsi="Trebuchet MS"/>
          <w:sz w:val="14"/>
          <w:szCs w:val="14"/>
          <w:color w:val="685040"/>
        </w:rPr>
        <w:t>New York, NY 10166</w:t>
      </w:r>
    </w:p>
    <w:p>
      <w:pPr>
        <w:spacing w:after="0" w:line="200" w:lineRule="exact"/>
        <w:rPr>
          <w:sz w:val="20"/>
          <w:szCs w:val="20"/>
          <w:color w:val="auto"/>
        </w:rPr>
      </w:pPr>
    </w:p>
    <w:p>
      <w:pPr>
        <w:sectPr>
          <w:pgSz w:w="11900" w:h="16838" w:orient="portrait"/>
          <w:cols w:equalWidth="0" w:num="2">
            <w:col w:w="3920" w:space="720"/>
            <w:col w:w="660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We hereby consent to the incorporation by reference in this Registration Statement of our reports dated March 4, 2024, relating to the consolidated financial statements and the effectiveness of internal control over financial reporting, of LivePerson, Inc. (the Company) appearing in the Company’s Annual Report on Form 10-K for the year ended December 31, 2023.</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BDO USA, P.C.</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BDO USA, P.C.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rebuchet MS" w:cs="Trebuchet MS" w:eastAsia="Trebuchet MS" w:hAnsi="Trebuchet MS"/>
          <w:sz w:val="11"/>
          <w:szCs w:val="11"/>
          <w:color w:val="404040"/>
        </w:rPr>
        <w:t>BDO USA refers to BDO USA, P.C., a Virginia professional corporation, also doing business in certain jurisdictions with an alternative identifying abbreviation, such as Corp. or P.S.C.</w:t>
      </w:r>
    </w:p>
    <w:p>
      <w:pPr>
        <w:spacing w:after="0" w:line="202" w:lineRule="auto"/>
        <w:rPr>
          <w:sz w:val="20"/>
          <w:szCs w:val="20"/>
          <w:color w:val="auto"/>
        </w:rPr>
      </w:pPr>
      <w:r>
        <w:rPr>
          <w:rFonts w:ascii="Trebuchet MS" w:cs="Trebuchet MS" w:eastAsia="Trebuchet MS" w:hAnsi="Trebuchet MS"/>
          <w:sz w:val="11"/>
          <w:szCs w:val="11"/>
          <w:color w:val="404040"/>
        </w:rPr>
        <w:t>BDO USA, P.C. is the U.S. member of BDO International Limited, a UK company limited by guarantee, and forms part of the international BDO network of independent member firms.</w:t>
      </w:r>
    </w:p>
    <w:p>
      <w:pPr>
        <w:spacing w:after="0"/>
        <w:rPr>
          <w:sz w:val="20"/>
          <w:szCs w:val="20"/>
          <w:color w:val="auto"/>
        </w:rPr>
      </w:pPr>
      <w:r>
        <w:rPr>
          <w:rFonts w:ascii="Trebuchet MS" w:cs="Trebuchet MS" w:eastAsia="Trebuchet MS" w:hAnsi="Trebuchet MS"/>
          <w:sz w:val="11"/>
          <w:szCs w:val="11"/>
          <w:color w:val="404040"/>
        </w:rPr>
        <w:t>BDO is the brand name for the BDO network and for each of the BDO Member Firms.</w:t>
      </w:r>
    </w:p>
    <w:p>
      <w:pPr>
        <w:sectPr>
          <w:pgSz w:w="11900" w:h="16838" w:orient="portrait"/>
          <w:cols w:equalWidth="0" w:num="1">
            <w:col w:w="11240"/>
          </w:cols>
          <w:pgMar w:left="320" w:top="166"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LIVEPERSON,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INDUCEMENT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September 30, 2024)</w:t>
      </w:r>
    </w:p>
    <w:p>
      <w:pPr>
        <w:spacing w:after="0" w:line="97"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Amended and Restated 2018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LivePerson,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to help the Company provide an inducement to attract and retain the employment services of Eligible Individuals (as defined in the Plan”), to motivate Eligible Individuals whose potential contributions are important to the success of the Company to accept an offer of employment by providing such Eligible Individuals with equity ownership opportunities, and to advance the interests of the Company’s stockholders by providing incentives to Eligible Individuals who are expected to make important contributions to the Company. Except where the context otherwise requires, the term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any of the Company’s present or future parent or subsidiary corporations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Persons who have not previously been an employee or director of the Company, or an individual following a bona fide period of non-employee with the Company (collectively, the “</w:t>
      </w:r>
      <w:r>
        <w:rPr>
          <w:rFonts w:ascii="Times New Roman" w:cs="Times New Roman" w:eastAsia="Times New Roman" w:hAnsi="Times New Roman"/>
          <w:sz w:val="18"/>
          <w:szCs w:val="18"/>
          <w:b w:val="1"/>
          <w:bCs w:val="1"/>
          <w:i w:val="1"/>
          <w:iCs w:val="1"/>
          <w:color w:val="auto"/>
        </w:rPr>
        <w:t>Eligible Individuals</w:t>
      </w:r>
      <w:r>
        <w:rPr>
          <w:rFonts w:ascii="Times New Roman" w:cs="Times New Roman" w:eastAsia="Times New Roman" w:hAnsi="Times New Roman"/>
          <w:sz w:val="18"/>
          <w:szCs w:val="18"/>
          <w:color w:val="auto"/>
        </w:rPr>
        <w:t>”) are eligible to be granted Options (as defined in Section 5), SARs (as defined in Section 6), Restricted Stock and Restricted Stock Units (as each is defined in Section 7), and Other Stock-Based Awards and Cash-Based Awards (as each is defined in Section 8, and each individually, an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under the Plan, in each case, as an inducement material to the individual’s entering into employment with the Company within the meaning of Rule 5635(c)(4) of the NASDAQ Listing Rules. Each Eligible Individual who is granted, and accepts, an Award under the Plan and commences employment with the Company is deemed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and Delegation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8"/>
        <w:spacing w:after="0" w:line="257" w:lineRule="auto"/>
        <w:tabs>
          <w:tab w:leader="none" w:pos="6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Administration by Board of Directors. </w:t>
      </w:r>
      <w:r>
        <w:rPr>
          <w:rFonts w:ascii="Times New Roman" w:cs="Times New Roman" w:eastAsia="Times New Roman" w:hAnsi="Times New Roman"/>
          <w:sz w:val="18"/>
          <w:szCs w:val="18"/>
          <w:color w:val="auto"/>
        </w:rPr>
        <w:t>The Plan will be administered by the Board. The Board shall have authority to grant Awards and to adopt,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w:t>
      </w:r>
    </w:p>
    <w:p>
      <w:pPr>
        <w:spacing w:after="0" w:line="74" w:lineRule="exact"/>
        <w:rPr>
          <w:rFonts w:ascii="Times New Roman" w:cs="Times New Roman" w:eastAsia="Times New Roman" w:hAnsi="Times New Roman"/>
          <w:sz w:val="18"/>
          <w:szCs w:val="18"/>
          <w:color w:val="auto"/>
        </w:rPr>
      </w:pPr>
    </w:p>
    <w:p>
      <w:pPr>
        <w:jc w:val="both"/>
        <w:ind w:firstLine="8"/>
        <w:spacing w:after="0" w:line="261" w:lineRule="auto"/>
        <w:tabs>
          <w:tab w:leader="none" w:pos="64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Appointment of Committees. </w:t>
      </w:r>
      <w:r>
        <w:rPr>
          <w:rFonts w:ascii="Times New Roman" w:cs="Times New Roman" w:eastAsia="Times New Roman" w:hAnsi="Times New Roman"/>
          <w:sz w:val="18"/>
          <w:szCs w:val="18"/>
          <w:color w:val="auto"/>
        </w:rPr>
        <w:t>To the extent permitted by applicable law, the Board may delegate any or all of its powers under the Plan to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committees or subcommittees of the Board (a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All references in the Plan to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or a Committee of the Board or the officers referred to in Section 3(c) to the extent that the Board’s powers or authority under the Plan have been delegated to such Committee or officers.</w:t>
      </w:r>
    </w:p>
    <w:p>
      <w:pPr>
        <w:spacing w:after="0" w:line="71" w:lineRule="exact"/>
        <w:rPr>
          <w:rFonts w:ascii="Times New Roman" w:cs="Times New Roman" w:eastAsia="Times New Roman" w:hAnsi="Times New Roman"/>
          <w:sz w:val="18"/>
          <w:szCs w:val="18"/>
          <w:i w:val="1"/>
          <w:iCs w:val="1"/>
          <w:color w:val="auto"/>
        </w:rPr>
      </w:pPr>
    </w:p>
    <w:p>
      <w:pPr>
        <w:jc w:val="both"/>
        <w:ind w:firstLine="8"/>
        <w:spacing w:after="0" w:line="254" w:lineRule="auto"/>
        <w:tabs>
          <w:tab w:leader="none" w:pos="638"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Delegation to Officers. </w:t>
      </w:r>
      <w:r>
        <w:rPr>
          <w:rFonts w:ascii="Times New Roman" w:cs="Times New Roman" w:eastAsia="Times New Roman" w:hAnsi="Times New Roman"/>
          <w:sz w:val="18"/>
          <w:szCs w:val="18"/>
          <w:color w:val="auto"/>
        </w:rPr>
        <w:t>To the extent permitted by, and in accordance with, applicable law, the Board may delegate to one or more officers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power to grant (i) Options and other Awards that constitute rights under Delaware law (subject to any limitations under the Plan); and (ii) Awards that constitute stock under Delaware law (subject to any limitations under the Plan), in each case, to an Eligible Individual, and to exercise such other powers under the Plan as the Board may determine, provided that the Board shall fix the terms of the Awards to be granted by such officers (including, in the case of Options, the exercise price of the Awards, which may include a formula by which the exercise price will be determined), the maximum number of shares subject to such Awards that the officers may grant and, in the case of Restricted Stock Awards, the time period during which the Awards may be granted by such officers; provided further, however, that no officer shall be authorized to grant Awards to any Eligible Individual whose potential position is anticipated to be designated, as of the date of hire, as (x) an “executive officer” of the Company (as defined by Rule 3b-7 under the Securities Exchange Act of 1934,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16" w:name="page17"/>
    <w:bookmarkEnd w:id="16"/>
    <w:p>
      <w:pPr>
        <w:ind w:left="10500"/>
        <w:spacing w:after="0"/>
        <w:rPr>
          <w:sz w:val="20"/>
          <w:szCs w:val="20"/>
          <w:color w:val="auto"/>
        </w:rPr>
      </w:pPr>
      <w:r>
        <w:rPr>
          <w:rFonts w:ascii="Times New Roman" w:cs="Times New Roman" w:eastAsia="Times New Roman" w:hAnsi="Times New Roman"/>
          <w:sz w:val="19"/>
          <w:szCs w:val="19"/>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(y) an “officer” of the Company (as defined by Rule 16a-1 under the Exchange Act).</w:t>
      </w:r>
    </w:p>
    <w:p>
      <w:pPr>
        <w:spacing w:after="0" w:line="254"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Available for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of Shares; Share Counting.</w:t>
      </w:r>
    </w:p>
    <w:p>
      <w:pPr>
        <w:spacing w:after="0" w:line="117" w:lineRule="exact"/>
        <w:rPr>
          <w:rFonts w:ascii="Times New Roman" w:cs="Times New Roman" w:eastAsia="Times New Roman" w:hAnsi="Times New Roman"/>
          <w:sz w:val="18"/>
          <w:szCs w:val="18"/>
          <w:color w:val="auto"/>
        </w:rPr>
      </w:pPr>
    </w:p>
    <w:p>
      <w:pPr>
        <w:ind w:left="340" w:hanging="8"/>
        <w:spacing w:after="0" w:line="284" w:lineRule="auto"/>
        <w:tabs>
          <w:tab w:leader="none" w:pos="5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Number of Shares. </w:t>
      </w:r>
      <w:r>
        <w:rPr>
          <w:rFonts w:ascii="Times New Roman" w:cs="Times New Roman" w:eastAsia="Times New Roman" w:hAnsi="Times New Roman"/>
          <w:sz w:val="18"/>
          <w:szCs w:val="18"/>
          <w:color w:val="auto"/>
        </w:rPr>
        <w:t>Subject to adjustment under Section 9, Awards may be made under the Plan for up to the number of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$0.001 par value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is equal to 13,079,009 shares of Common Stock.</w:t>
      </w:r>
    </w:p>
    <w:p>
      <w:pPr>
        <w:spacing w:after="0" w:line="50"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Fungible Share Pool</w:t>
      </w:r>
      <w:r>
        <w:rPr>
          <w:rFonts w:ascii="Times New Roman" w:cs="Times New Roman" w:eastAsia="Times New Roman" w:hAnsi="Times New Roman"/>
          <w:sz w:val="18"/>
          <w:szCs w:val="18"/>
          <w:color w:val="auto"/>
        </w:rPr>
        <w:t>. Subject to adjustment under Section 9, any Award that is not a Full-Value Award shall be counted against the share limits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Sections 4(a)(1) as 1 share for each share of Common Stock subject to such Award and any Award that is a Full-Value Award shall be counted against the share limits specified in Sections 4(a)(1) as (i) 1.5 shares for each 1 share of Common Stock subject to such Full-Value Award if such Full-Value Award was granted under the Plan prior to September 30, 2024, and (ii) 1 share for each share of Common Stock subject to such Full-Value Award if such Full-Value Award was granted under the Plan on or after September 30, 2024. “Full-Value Award” means any Restricted Stock Award or Other Stock-Based Award with a per share price or per unit purchase price lower than 100% of Fair Market Value (as defined below) on the date of grant. To the extent a share that was subject to an Award that counted as 1 share is returned to the Plan pursuant to Section 4(a)(3), each applicable share reserve will be credited with 1 share. To the extent that a share that was subject to an Award that counts as 1.5 shares is returned to the Plan pursuant to Section 4(a) (3), each applicable share reserve will be credited with 1.5 shares.</w:t>
      </w:r>
    </w:p>
    <w:p>
      <w:pPr>
        <w:spacing w:after="0" w:line="80"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the Plan, (i) all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covered by independent SARs shall be counted against the number of shares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that independent SARs that may be settled only in cash shall not be so counted; (ii) if any Award (A)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(B) results in any Common Stock not being issued (including as a result of an independent SAR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in the case of independent SARs, that the full number of shares subject to any stock-settled SAR shall be counted against the shares available under the Plan in proportion to the portion of the SAR actually exercised regardless of the number of shares actually used to settle such SAR upon exercise; (iii) shares of Common Stock delivered (either by actual delivery, attestation, or net exercise) to the Company by a Participant to (A) purchase shares of Common Stock upon the exercise of an Award or (B) satisfy tax withholding obligations (including shares retained from the Award creating the tax obligation) shall not be added back to the number of shares available for the future grant of Awards; and (iv) shares of Common Stock repurchased by the Company on the open market using the proceeds from the exercise of an Award shall not increase the number of shares available for future grant of Awards.</w:t>
      </w:r>
    </w:p>
    <w:p>
      <w:pPr>
        <w:spacing w:after="0" w:line="79"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w:t>
      </w:r>
    </w:p>
    <w:p>
      <w:pPr>
        <w:spacing w:after="0" w:line="72"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firstLine="8"/>
        <w:spacing w:after="0" w:line="268" w:lineRule="auto"/>
        <w:tabs>
          <w:tab w:leader="none" w:pos="648"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Board may grant non-qualified stock options to purchase Common Stock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and determine the number of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8"/>
        <w:spacing w:after="0" w:line="261" w:lineRule="auto"/>
        <w:tabs>
          <w:tab w:leader="none" w:pos="648"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The Board shall establish the exercise price of each Option and specify the exercise price in the applicable option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shall be not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w:t>
      </w:r>
    </w:p>
    <w:p>
      <w:pPr>
        <w:spacing w:after="0" w:line="71"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638"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Duration of Options. </w:t>
      </w:r>
      <w:r>
        <w:rPr>
          <w:rFonts w:ascii="Times New Roman" w:cs="Times New Roman" w:eastAsia="Times New Roman" w:hAnsi="Times New Roman"/>
          <w:sz w:val="18"/>
          <w:szCs w:val="18"/>
          <w:color w:val="auto"/>
        </w:rPr>
        <w:t>Each Option shall be exercisable at such times and subject to such terms and conditions as the Board may specify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10 years.</w:t>
      </w:r>
    </w:p>
    <w:p>
      <w:pPr>
        <w:spacing w:after="0" w:line="50" w:lineRule="exact"/>
        <w:rPr>
          <w:rFonts w:ascii="Times New Roman" w:cs="Times New Roman" w:eastAsia="Times New Roman" w:hAnsi="Times New Roman"/>
          <w:sz w:val="18"/>
          <w:szCs w:val="18"/>
          <w:i w:val="1"/>
          <w:iCs w:val="1"/>
          <w:color w:val="auto"/>
        </w:rPr>
      </w:pPr>
    </w:p>
    <w:p>
      <w:pPr>
        <w:jc w:val="both"/>
        <w:ind w:firstLine="8"/>
        <w:spacing w:after="0" w:line="261" w:lineRule="auto"/>
        <w:tabs>
          <w:tab w:leader="none" w:pos="648"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Exercise of Option. </w:t>
      </w:r>
      <w:r>
        <w:rPr>
          <w:rFonts w:ascii="Times New Roman" w:cs="Times New Roman" w:eastAsia="Times New Roman" w:hAnsi="Times New Roman"/>
          <w:sz w:val="18"/>
          <w:szCs w:val="18"/>
          <w:color w:val="auto"/>
        </w:rPr>
        <w:t>Options may be exercised by delivery to the Company of a written notice of exercise signed by the proper person or by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form of notice (including electronic notice) approved by the Company, together with payment in full as specified in Section 5(f) for the number of shares for which the Option is exercised. Shares of Common Stock subject to the Option will be delivered by the Company as soon as practicable following exercise.</w:t>
      </w:r>
    </w:p>
    <w:p>
      <w:pPr>
        <w:spacing w:after="0" w:line="71" w:lineRule="exact"/>
        <w:rPr>
          <w:rFonts w:ascii="Times New Roman" w:cs="Times New Roman" w:eastAsia="Times New Roman" w:hAnsi="Times New Roman"/>
          <w:sz w:val="18"/>
          <w:szCs w:val="18"/>
          <w:i w:val="1"/>
          <w:iCs w:val="1"/>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Payment Upon Exercise. </w:t>
      </w:r>
      <w:r>
        <w:rPr>
          <w:rFonts w:ascii="Times New Roman" w:cs="Times New Roman" w:eastAsia="Times New Roman" w:hAnsi="Times New Roman"/>
          <w:sz w:val="18"/>
          <w:szCs w:val="18"/>
          <w:color w:val="auto"/>
        </w:rPr>
        <w:t>Common Stock purchased upon the exercise of an Option granted under the Plan shall be paid for as follows:</w:t>
      </w:r>
    </w:p>
    <w:p>
      <w:pPr>
        <w:spacing w:after="0" w:line="11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cash or by check, payable to the order of the Company;</w:t>
      </w:r>
    </w:p>
    <w:p>
      <w:pPr>
        <w:spacing w:after="0" w:line="117" w:lineRule="exact"/>
        <w:rPr>
          <w:rFonts w:ascii="Times New Roman" w:cs="Times New Roman" w:eastAsia="Times New Roman" w:hAnsi="Times New Roman"/>
          <w:sz w:val="17"/>
          <w:szCs w:val="17"/>
          <w:color w:val="auto"/>
        </w:rPr>
      </w:pPr>
    </w:p>
    <w:p>
      <w:pPr>
        <w:jc w:val="both"/>
        <w:ind w:left="340" w:hanging="8"/>
        <w:spacing w:after="0" w:line="261" w:lineRule="auto"/>
        <w:tabs>
          <w:tab w:leader="none" w:pos="66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71" w:lineRule="exact"/>
        <w:rPr>
          <w:rFonts w:ascii="Times New Roman" w:cs="Times New Roman" w:eastAsia="Times New Roman" w:hAnsi="Times New Roman"/>
          <w:sz w:val="17"/>
          <w:szCs w:val="17"/>
          <w:color w:val="auto"/>
        </w:rPr>
      </w:pPr>
    </w:p>
    <w:p>
      <w:pPr>
        <w:jc w:val="both"/>
        <w:ind w:left="340" w:hanging="8"/>
        <w:spacing w:after="0" w:line="262" w:lineRule="auto"/>
        <w:tabs>
          <w:tab w:leader="none" w:pos="66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71" w:lineRule="exact"/>
        <w:rPr>
          <w:rFonts w:ascii="Times New Roman" w:cs="Times New Roman" w:eastAsia="Times New Roman" w:hAnsi="Times New Roman"/>
          <w:sz w:val="17"/>
          <w:szCs w:val="17"/>
          <w:color w:val="auto"/>
        </w:rPr>
      </w:pPr>
    </w:p>
    <w:p>
      <w:pPr>
        <w:jc w:val="both"/>
        <w:ind w:left="340" w:hanging="8"/>
        <w:spacing w:after="0" w:line="261" w:lineRule="auto"/>
        <w:tabs>
          <w:tab w:leader="none" w:pos="66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the extent provided for in the applicable Option agreement or approved by the Board in its sole discretion, by delivery of a notice of “net exercise” to the Company, as a result of which the Participant would receive the number of shares of Common Stock underlying the Option so exercised reduced by the number of shares of Common Stock equal to the aggregate exercise price of the Option divided by the Fair Market Value on the date of exercise;</w:t>
      </w:r>
    </w:p>
    <w:p>
      <w:pPr>
        <w:spacing w:after="0" w:line="7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in its sole discretion, by</w:t>
      </w:r>
    </w:p>
    <w:p>
      <w:pPr>
        <w:spacing w:after="0" w:line="27" w:lineRule="exact"/>
        <w:rPr>
          <w:rFonts w:ascii="Times New Roman" w:cs="Times New Roman" w:eastAsia="Times New Roman" w:hAnsi="Times New Roman"/>
          <w:sz w:val="17"/>
          <w:szCs w:val="17"/>
          <w:color w:val="auto"/>
        </w:rPr>
      </w:pPr>
    </w:p>
    <w:p>
      <w:pPr>
        <w:ind w:lef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delivery of a promissory note of the Participant to the Company on terms determined by the Board, or (ii) payment of such other lawful consideration as the Board may determine; or</w:t>
      </w:r>
    </w:p>
    <w:p>
      <w:pPr>
        <w:spacing w:after="0" w:line="73"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any combination of the above permitted forms of payment.</w:t>
      </w:r>
    </w:p>
    <w:p>
      <w:pPr>
        <w:spacing w:after="0" w:line="115" w:lineRule="exact"/>
        <w:rPr>
          <w:rFonts w:ascii="Times New Roman" w:cs="Times New Roman" w:eastAsia="Times New Roman" w:hAnsi="Times New Roman"/>
          <w:sz w:val="17"/>
          <w:szCs w:val="17"/>
          <w:color w:val="auto"/>
        </w:rPr>
      </w:pPr>
    </w:p>
    <w:p>
      <w:pPr>
        <w:jc w:val="both"/>
        <w:ind w:firstLine="8"/>
        <w:spacing w:after="0" w:line="258" w:lineRule="auto"/>
        <w:tabs>
          <w:tab w:leader="none" w:pos="3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Repricing</w:t>
      </w:r>
      <w:r>
        <w:rPr>
          <w:rFonts w:ascii="Times New Roman" w:cs="Times New Roman" w:eastAsia="Times New Roman" w:hAnsi="Times New Roman"/>
          <w:sz w:val="18"/>
          <w:szCs w:val="18"/>
          <w:color w:val="auto"/>
        </w:rPr>
        <w:t>. Unless such action is approved by the Company’s stockholders: (1) no outstanding Option granted under the Plan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to provide an exercise price per share that is lower than the then-current exercise price per share of such outstanding Option (other than adjustments pursuant to Section 9) and (2) the Board may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w:t>
      </w:r>
    </w:p>
    <w:p>
      <w:pPr>
        <w:spacing w:after="0" w:line="7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0"/>
          <w:szCs w:val="20"/>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8"/>
        <w:spacing w:after="0" w:line="261" w:lineRule="auto"/>
        <w:tabs>
          <w:tab w:leader="none" w:pos="2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Board may grant Awards consisting of SARs entitling the holder, upon exercise, to receive an amount of Common Stock or cash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thereof (such form to be determined by the Board) determined by reference to appreciation, from and after the date of grant, in the Fair Market Value of a share of Common Stock over the measurement price established pursuant to Section 6(c). The date as of which such appreciation is determined shall be the exercise date.</w:t>
      </w:r>
    </w:p>
    <w:p>
      <w:pPr>
        <w:spacing w:after="0" w:line="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Grants. </w:t>
      </w:r>
      <w:r>
        <w:rPr>
          <w:rFonts w:ascii="Times New Roman" w:cs="Times New Roman" w:eastAsia="Times New Roman" w:hAnsi="Times New Roman"/>
          <w:sz w:val="18"/>
          <w:szCs w:val="18"/>
          <w:color w:val="auto"/>
        </w:rPr>
        <w:t>SARs may be granted in tandem with, or independently of, Options granted under the Plan.</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61" w:val="left"/>
        </w:tabs>
        <w:numPr>
          <w:ilvl w:val="1"/>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Tandem Awards. </w:t>
      </w:r>
      <w:r>
        <w:rPr>
          <w:rFonts w:ascii="Times New Roman" w:cs="Times New Roman" w:eastAsia="Times New Roman" w:hAnsi="Times New Roman"/>
          <w:sz w:val="18"/>
          <w:szCs w:val="18"/>
          <w:color w:val="auto"/>
        </w:rPr>
        <w:t>When SARs are expressly granted in tandem with Options, (i) the SAR will be exercisable only at such time or times, and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that the related Option is exercisable (except to the extent designated by the Board in connection with a Reorganization Event) and will be exercisable in accordance with the procedure required for exercise of the related Option; (ii) the SAR will terminate and no longer be exercisable upon the termination or exercise of the related Option, except to the extent designated by the Board in connection with a Reorganization Event and except that a SAR granted with respect to less than the full number of shares covered by an Option will not be reduced until the number of shares as to which the related Option has been exercised or has terminated exceeds the number of shares not covered by the SAR; (iii) the Option will terminate and no longer be exercisable upon the exercise of the related SAR; and (iv) the SAR will be transferable only with the related Option.</w:t>
      </w:r>
    </w:p>
    <w:p>
      <w:pPr>
        <w:spacing w:after="0" w:line="74" w:lineRule="exact"/>
        <w:rPr>
          <w:rFonts w:ascii="Times New Roman" w:cs="Times New Roman" w:eastAsia="Times New Roman" w:hAnsi="Times New Roman"/>
          <w:sz w:val="17"/>
          <w:szCs w:val="17"/>
          <w:i w:val="1"/>
          <w:iCs w:val="1"/>
          <w:color w:val="auto"/>
        </w:rPr>
      </w:pPr>
    </w:p>
    <w:p>
      <w:pPr>
        <w:ind w:left="340" w:hanging="8"/>
        <w:spacing w:after="0" w:line="284" w:lineRule="auto"/>
        <w:tabs>
          <w:tab w:leader="none" w:pos="661" w:val="left"/>
        </w:tabs>
        <w:numPr>
          <w:ilvl w:val="1"/>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Independent SARs. </w:t>
      </w:r>
      <w:r>
        <w:rPr>
          <w:rFonts w:ascii="Times New Roman" w:cs="Times New Roman" w:eastAsia="Times New Roman" w:hAnsi="Times New Roman"/>
          <w:sz w:val="18"/>
          <w:szCs w:val="18"/>
          <w:color w:val="auto"/>
        </w:rPr>
        <w:t>A SAR not expressly granted in tandem with an Option will become exercisable at such time or times, and on such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Board may specify in the SAR Award.</w:t>
      </w:r>
    </w:p>
    <w:p>
      <w:pPr>
        <w:spacing w:after="0" w:line="50" w:lineRule="exact"/>
        <w:rPr>
          <w:rFonts w:ascii="Times New Roman" w:cs="Times New Roman" w:eastAsia="Times New Roman" w:hAnsi="Times New Roman"/>
          <w:sz w:val="17"/>
          <w:szCs w:val="17"/>
          <w:i w:val="1"/>
          <w:iCs w:val="1"/>
          <w:color w:val="auto"/>
        </w:rPr>
      </w:pPr>
    </w:p>
    <w:p>
      <w:pPr>
        <w:jc w:val="both"/>
        <w:ind w:firstLine="8"/>
        <w:spacing w:after="0" w:line="267" w:lineRule="auto"/>
        <w:tabs>
          <w:tab w:leader="none" w:pos="2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Measurement Price. </w:t>
      </w:r>
      <w:r>
        <w:rPr>
          <w:rFonts w:ascii="Times New Roman" w:cs="Times New Roman" w:eastAsia="Times New Roman" w:hAnsi="Times New Roman"/>
          <w:sz w:val="18"/>
          <w:szCs w:val="18"/>
          <w:color w:val="auto"/>
        </w:rPr>
        <w:t>The Board shall establish the measurement price of each SAR and specify it in the applicable SAR agreement.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shall not be less than 100% of the Fair Market Value on the date the SAR is granted; provided that if the Board approves the grant of a SAR with a measurement price to be determined on a future date, the measurement price shall be not less than 100% of the Fair Market Value on such future date.</w:t>
      </w:r>
    </w:p>
    <w:p>
      <w:pPr>
        <w:spacing w:after="0" w:line="65" w:lineRule="exact"/>
        <w:rPr>
          <w:rFonts w:ascii="Times New Roman" w:cs="Times New Roman" w:eastAsia="Times New Roman" w:hAnsi="Times New Roman"/>
          <w:sz w:val="18"/>
          <w:szCs w:val="18"/>
          <w:color w:val="auto"/>
        </w:rPr>
      </w:pPr>
    </w:p>
    <w:p>
      <w:pPr>
        <w:ind w:right="20" w:firstLine="8"/>
        <w:spacing w:after="0" w:line="284" w:lineRule="auto"/>
        <w:tabs>
          <w:tab w:leader="none" w:pos="4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Duration of SARs. </w:t>
      </w:r>
      <w:r>
        <w:rPr>
          <w:rFonts w:ascii="Times New Roman" w:cs="Times New Roman" w:eastAsia="Times New Roman" w:hAnsi="Times New Roman"/>
          <w:sz w:val="18"/>
          <w:szCs w:val="18"/>
          <w:color w:val="auto"/>
        </w:rPr>
        <w:t>Each SAR shall be exercisable at such times and subject to such terms and conditions as the Board may specify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50" w:lineRule="exact"/>
        <w:rPr>
          <w:rFonts w:ascii="Times New Roman" w:cs="Times New Roman" w:eastAsia="Times New Roman" w:hAnsi="Times New Roman"/>
          <w:sz w:val="18"/>
          <w:szCs w:val="18"/>
          <w:color w:val="auto"/>
        </w:rPr>
      </w:pPr>
    </w:p>
    <w:p>
      <w:pPr>
        <w:ind w:firstLine="8"/>
        <w:spacing w:after="0" w:line="284" w:lineRule="auto"/>
        <w:tabs>
          <w:tab w:leader="none" w:pos="2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of SARs. </w:t>
      </w:r>
      <w:r>
        <w:rPr>
          <w:rFonts w:ascii="Times New Roman" w:cs="Times New Roman" w:eastAsia="Times New Roman" w:hAnsi="Times New Roman"/>
          <w:sz w:val="18"/>
          <w:szCs w:val="18"/>
          <w:color w:val="auto"/>
        </w:rPr>
        <w:t>SARs may be exercised by delivery to the Company of a written notice of exercise signed by the proper person or by any other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notice (including electronic notice) approved by the Company, together with any other documents required by the Board.</w:t>
      </w:r>
    </w:p>
    <w:p>
      <w:pPr>
        <w:spacing w:after="0" w:line="50" w:lineRule="exact"/>
        <w:rPr>
          <w:rFonts w:ascii="Times New Roman" w:cs="Times New Roman" w:eastAsia="Times New Roman" w:hAnsi="Times New Roman"/>
          <w:sz w:val="18"/>
          <w:szCs w:val="18"/>
          <w:color w:val="auto"/>
        </w:rPr>
      </w:pPr>
    </w:p>
    <w:p>
      <w:pPr>
        <w:jc w:val="both"/>
        <w:ind w:firstLine="8"/>
        <w:spacing w:after="0" w:line="258" w:lineRule="auto"/>
        <w:tabs>
          <w:tab w:leader="none" w:pos="2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Repricing. </w:t>
      </w:r>
      <w:r>
        <w:rPr>
          <w:rFonts w:ascii="Times New Roman" w:cs="Times New Roman" w:eastAsia="Times New Roman" w:hAnsi="Times New Roman"/>
          <w:sz w:val="18"/>
          <w:szCs w:val="18"/>
          <w:color w:val="auto"/>
        </w:rPr>
        <w:t>Unless such action is approved by the Company’s stockholders: (1) no outstanding SAR granted under the Plan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to provide an exercise price per share that is lower than the then-current exercise price per share of such outstanding SAR (other than adjustments pursuant to Section 9) and (2) the Board may not cancel any outstanding SAR (whether or not granted under the Plan) and grant in substitution therefor new Awards under the Plan covering the same or a different number of shares of Common Stock and having an exercise price per share lower than the then-current exercise price per share of the cancelled SAR.</w:t>
      </w:r>
    </w:p>
    <w:p>
      <w:pPr>
        <w:spacing w:after="0" w:line="7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Restricted Stock Units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firstLine="8"/>
        <w:spacing w:after="0" w:line="257" w:lineRule="auto"/>
        <w:tabs>
          <w:tab w:leader="none" w:pos="2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Board may grant Awards entitling recipients to acquire shares of Common Stock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subject to the right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(Restricted Stock and Restricted Stock Units are each referred to herein as a “</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firstLine="8"/>
        <w:spacing w:after="0" w:line="284" w:lineRule="auto"/>
        <w:tabs>
          <w:tab w:leader="none" w:pos="3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Terms and Conditions for All Restricted Stock Awards. </w:t>
      </w:r>
      <w:r>
        <w:rPr>
          <w:rFonts w:ascii="Times New Roman" w:cs="Times New Roman" w:eastAsia="Times New Roman" w:hAnsi="Times New Roman"/>
          <w:sz w:val="18"/>
          <w:szCs w:val="18"/>
          <w:color w:val="auto"/>
        </w:rPr>
        <w:t>The Board shall determine the terms and conditions of a Restricted Stock Award,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for vesting and repurchase (or forfeiture) and the issue price,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4" w:right="339" w:bottom="1440" w:gutter="0" w:footer="0" w:header="0"/>
        </w:sectPr>
      </w:pPr>
    </w:p>
    <w:bookmarkStart w:id="19" w:name="page20"/>
    <w:bookmarkEnd w:id="19"/>
    <w:p>
      <w:pPr>
        <w:ind w:left="10500"/>
        <w:spacing w:after="0"/>
        <w:rPr>
          <w:sz w:val="20"/>
          <w:szCs w:val="20"/>
          <w:color w:val="auto"/>
        </w:rPr>
      </w:pPr>
      <w:r>
        <w:rPr>
          <w:rFonts w:ascii="Times New Roman" w:cs="Times New Roman" w:eastAsia="Times New Roman" w:hAnsi="Times New Roman"/>
          <w:sz w:val="19"/>
          <w:szCs w:val="19"/>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Provisions Relating to Restricted Stock.</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p>
    <w:p>
      <w:pPr>
        <w:spacing w:after="0" w:line="119" w:lineRule="exact"/>
        <w:rPr>
          <w:rFonts w:ascii="Times New Roman" w:cs="Times New Roman" w:eastAsia="Times New Roman" w:hAnsi="Times New Roman"/>
          <w:sz w:val="18"/>
          <w:szCs w:val="18"/>
          <w:color w:val="auto"/>
        </w:rPr>
      </w:pPr>
    </w:p>
    <w:p>
      <w:pPr>
        <w:ind w:left="1240" w:right="20" w:hanging="325"/>
        <w:spacing w:after="0" w:line="282" w:lineRule="auto"/>
        <w:tabs>
          <w:tab w:leader="none" w:pos="1234"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Subject to Section 7(c)(1)(C) below, Participants holding shares of Restricted Stock will be entitled to all ordinary cash dividends paid with respect to such shares, unless otherwise provided by the Board.</w:t>
      </w:r>
    </w:p>
    <w:p>
      <w:pPr>
        <w:spacing w:after="0" w:line="53" w:lineRule="exact"/>
        <w:rPr>
          <w:rFonts w:ascii="Times New Roman" w:cs="Times New Roman" w:eastAsia="Times New Roman" w:hAnsi="Times New Roman"/>
          <w:sz w:val="17"/>
          <w:szCs w:val="17"/>
          <w:color w:val="auto"/>
        </w:rPr>
      </w:pPr>
    </w:p>
    <w:p>
      <w:pPr>
        <w:jc w:val="both"/>
        <w:ind w:left="1240" w:hanging="325"/>
        <w:spacing w:after="0" w:line="266" w:lineRule="auto"/>
        <w:tabs>
          <w:tab w:leader="none" w:pos="1238"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Subject to Section 7(c)(1)(C) below,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w:t>
      </w:r>
    </w:p>
    <w:p>
      <w:pPr>
        <w:spacing w:after="0" w:line="67" w:lineRule="exact"/>
        <w:rPr>
          <w:rFonts w:ascii="Times New Roman" w:cs="Times New Roman" w:eastAsia="Times New Roman" w:hAnsi="Times New Roman"/>
          <w:sz w:val="17"/>
          <w:szCs w:val="17"/>
          <w:color w:val="auto"/>
        </w:rPr>
      </w:pPr>
    </w:p>
    <w:p>
      <w:pPr>
        <w:jc w:val="both"/>
        <w:ind w:left="1240" w:hanging="325"/>
        <w:spacing w:after="0" w:line="274" w:lineRule="auto"/>
        <w:tabs>
          <w:tab w:leader="none" w:pos="1238" w:val="left"/>
        </w:tabs>
        <w:numPr>
          <w:ilvl w:val="3"/>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dividend amount shall be credited to an account for the Participant and shall become payable if and when the Restricted Stock to which it relates vests or, if later, when the shareholders actually receive that dividend payment. Any such amount shall be paid within 30 days of the applicable vesting event or shareholder payment date, if later.</w:t>
      </w:r>
    </w:p>
    <w:p>
      <w:pPr>
        <w:spacing w:after="0" w:line="58" w:lineRule="exact"/>
        <w:rPr>
          <w:rFonts w:ascii="Times New Roman" w:cs="Times New Roman" w:eastAsia="Times New Roman" w:hAnsi="Times New Roman"/>
          <w:sz w:val="17"/>
          <w:szCs w:val="17"/>
          <w:color w:val="auto"/>
        </w:rPr>
      </w:pPr>
    </w:p>
    <w:p>
      <w:pPr>
        <w:jc w:val="both"/>
        <w:ind w:left="260" w:firstLine="7"/>
        <w:spacing w:after="0" w:line="257" w:lineRule="auto"/>
        <w:tabs>
          <w:tab w:leader="none" w:pos="5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Certificates. </w:t>
      </w:r>
      <w:r>
        <w:rPr>
          <w:rFonts w:ascii="Times New Roman" w:cs="Times New Roman" w:eastAsia="Times New Roman" w:hAnsi="Times New Roman"/>
          <w:sz w:val="18"/>
          <w:szCs w:val="18"/>
          <w:color w:val="auto"/>
        </w:rPr>
        <w:t>The Company may require that any stock certificates issued in respect of shares of Restricted Stock shall be deposited in escrow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In the absence of an effective designation by a Participant, “</w:t>
      </w:r>
      <w:r>
        <w:rPr>
          <w:rFonts w:ascii="Times New Roman" w:cs="Times New Roman" w:eastAsia="Times New Roman" w:hAnsi="Times New Roman"/>
          <w:sz w:val="18"/>
          <w:szCs w:val="18"/>
          <w:b w:val="1"/>
          <w:bCs w:val="1"/>
          <w:i w:val="1"/>
          <w:iCs w:val="1"/>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Beneficiary</w:t>
      </w:r>
      <w:r>
        <w:rPr>
          <w:rFonts w:ascii="Times New Roman" w:cs="Times New Roman" w:eastAsia="Times New Roman" w:hAnsi="Times New Roman"/>
          <w:sz w:val="18"/>
          <w:szCs w:val="18"/>
          <w:color w:val="auto"/>
        </w:rPr>
        <w:t>” shall mean the Participant’s estate.</w:t>
      </w:r>
    </w:p>
    <w:p>
      <w:pPr>
        <w:spacing w:after="0" w:line="7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Provisions Relating to Restricted Stock Units.</w:t>
      </w:r>
    </w:p>
    <w:p>
      <w:pPr>
        <w:spacing w:after="0" w:line="117" w:lineRule="exact"/>
        <w:rPr>
          <w:rFonts w:ascii="Times New Roman" w:cs="Times New Roman" w:eastAsia="Times New Roman" w:hAnsi="Times New Roman"/>
          <w:sz w:val="18"/>
          <w:szCs w:val="18"/>
          <w:color w:val="auto"/>
        </w:rPr>
      </w:pPr>
    </w:p>
    <w:p>
      <w:pPr>
        <w:jc w:val="both"/>
        <w:ind w:left="260" w:firstLine="7"/>
        <w:spacing w:after="0" w:line="261" w:lineRule="auto"/>
        <w:tabs>
          <w:tab w:leader="none" w:pos="5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Settlement. </w:t>
      </w:r>
      <w:r>
        <w:rPr>
          <w:rFonts w:ascii="Times New Roman" w:cs="Times New Roman" w:eastAsia="Times New Roman" w:hAnsi="Times New Roman"/>
          <w:sz w:val="18"/>
          <w:szCs w:val="18"/>
          <w:color w:val="auto"/>
        </w:rPr>
        <w:t>Upon the vesting of and/or lapsing of any other restrictions (i.e., settlement) with respect to each Restricted Stock Unit,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 in a manner that complies with Code Section 409A.</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2"/>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A Participant shall have no voting rights with respect to any Restricted Stock Units.</w:t>
      </w:r>
    </w:p>
    <w:p>
      <w:pPr>
        <w:spacing w:after="0" w:line="117" w:lineRule="exact"/>
        <w:rPr>
          <w:rFonts w:ascii="Times New Roman" w:cs="Times New Roman" w:eastAsia="Times New Roman" w:hAnsi="Times New Roman"/>
          <w:sz w:val="17"/>
          <w:szCs w:val="17"/>
          <w:i w:val="1"/>
          <w:iCs w:val="1"/>
          <w:color w:val="auto"/>
        </w:rPr>
      </w:pPr>
    </w:p>
    <w:p>
      <w:pPr>
        <w:ind w:left="660" w:hanging="328"/>
        <w:spacing w:after="0"/>
        <w:tabs>
          <w:tab w:leader="none" w:pos="660" w:val="left"/>
        </w:tabs>
        <w:numPr>
          <w:ilvl w:val="2"/>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Dividend Equivalents.</w:t>
      </w:r>
    </w:p>
    <w:p>
      <w:pPr>
        <w:spacing w:after="0" w:line="119" w:lineRule="exact"/>
        <w:rPr>
          <w:sz w:val="20"/>
          <w:szCs w:val="20"/>
          <w:color w:val="auto"/>
        </w:rPr>
      </w:pPr>
    </w:p>
    <w:p>
      <w:pPr>
        <w:jc w:val="both"/>
        <w:ind w:left="1240" w:hanging="258"/>
        <w:spacing w:after="0" w:line="289" w:lineRule="auto"/>
        <w:rPr>
          <w:sz w:val="20"/>
          <w:szCs w:val="20"/>
          <w:color w:val="auto"/>
        </w:rPr>
      </w:pPr>
      <w:r>
        <w:rPr>
          <w:rFonts w:ascii="Times New Roman" w:cs="Times New Roman" w:eastAsia="Times New Roman" w:hAnsi="Times New Roman"/>
          <w:sz w:val="17"/>
          <w:szCs w:val="17"/>
          <w:color w:val="auto"/>
        </w:rPr>
        <w:t>A. Subject to Section 7(d)(3)(C) below, to the extent provided by the Board, in its sole discretion, a grant of Restricted Stock Units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7"/>
          <w:szCs w:val="17"/>
          <w:b w:val="1"/>
          <w:bCs w:val="1"/>
          <w:i w:val="1"/>
          <w:iCs w:val="1"/>
          <w:color w:val="auto"/>
        </w:rPr>
        <w:t>Dividend Equivalents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jc w:val="both"/>
        <w:ind w:left="1240" w:hanging="260"/>
        <w:spacing w:after="0" w:line="261" w:lineRule="auto"/>
        <w:tabs>
          <w:tab w:leader="none" w:pos="1232"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Subject to Section 7(d)(3)(C) below, Dividend Equivalents may be settled in cash and/or shares of Common Stock, as determined by the Board in its sole discretion, and will be subject to the same restrictions on transfer and forfeitability as the Restricted Stock Units with respect to which paid, subject in each case to such terms and conditions as the Board shall establish, in each case to be set forth in the applicable Award agreement.</w:t>
      </w:r>
    </w:p>
    <w:p>
      <w:pPr>
        <w:spacing w:after="0" w:line="71" w:lineRule="exact"/>
        <w:rPr>
          <w:rFonts w:ascii="Times New Roman" w:cs="Times New Roman" w:eastAsia="Times New Roman" w:hAnsi="Times New Roman"/>
          <w:sz w:val="17"/>
          <w:szCs w:val="17"/>
          <w:color w:val="auto"/>
        </w:rPr>
      </w:pPr>
    </w:p>
    <w:p>
      <w:pPr>
        <w:jc w:val="both"/>
        <w:ind w:left="1240" w:hanging="260"/>
        <w:spacing w:after="0" w:line="274" w:lineRule="auto"/>
        <w:tabs>
          <w:tab w:leader="none" w:pos="1232"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the extent a Dividend Equivalent right is provided in an award agreement, each Dividend Equivalent shall be credited to an account for the Participant and become payable if and when the Restricted Stock Units to which it relates vest (and shall be paid at the same time as settlement of the Restricted Stock Units) or, if later, when the shareholders actually receive the corresponding dividend payment.</w:t>
      </w:r>
    </w:p>
    <w:p>
      <w:pPr>
        <w:spacing w:after="0" w:line="58" w:lineRule="exact"/>
        <w:rPr>
          <w:rFonts w:ascii="Times New Roman" w:cs="Times New Roman" w:eastAsia="Times New Roman" w:hAnsi="Times New Roman"/>
          <w:sz w:val="17"/>
          <w:szCs w:val="17"/>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Stock-Based and Cash-Based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4" w:right="339" w:bottom="1440" w:gutter="0" w:footer="0" w:header="0"/>
        </w:sectPr>
      </w:pPr>
    </w:p>
    <w:bookmarkStart w:id="20" w:name="page21"/>
    <w:bookmarkEnd w:id="20"/>
    <w:p>
      <w:pPr>
        <w:ind w:left="10500"/>
        <w:spacing w:after="0"/>
        <w:rPr>
          <w:sz w:val="20"/>
          <w:szCs w:val="20"/>
          <w:color w:val="auto"/>
        </w:rPr>
      </w:pPr>
      <w:r>
        <w:rPr>
          <w:rFonts w:ascii="Times New Roman" w:cs="Times New Roman" w:eastAsia="Times New Roman" w:hAnsi="Times New Roman"/>
          <w:sz w:val="19"/>
          <w:szCs w:val="19"/>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80" w:hanging="7"/>
        <w:spacing w:after="0" w:line="257" w:lineRule="auto"/>
        <w:tabs>
          <w:tab w:leader="none" w:pos="660"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Other Awards of shares of Common Stock, and other Awards that are valued in whole or in part by reference to, or are otherwise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shares of Common Stock or other property, may be granted hereunder to Participants (“</w:t>
      </w: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including without limitation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The Company may also grant Performance Awards or other Awards denominated in cash rather than shares of Common Stock (“</w:t>
      </w:r>
      <w:r>
        <w:rPr>
          <w:rFonts w:ascii="Times New Roman" w:cs="Times New Roman" w:eastAsia="Times New Roman" w:hAnsi="Times New Roman"/>
          <w:sz w:val="18"/>
          <w:szCs w:val="18"/>
          <w:b w:val="1"/>
          <w:bCs w:val="1"/>
          <w:i w:val="1"/>
          <w:iCs w:val="1"/>
          <w:color w:val="auto"/>
        </w:rPr>
        <w:t>Cash-Based Awards</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i w:val="1"/>
          <w:iCs w:val="1"/>
          <w:color w:val="auto"/>
        </w:rPr>
      </w:pPr>
    </w:p>
    <w:p>
      <w:pPr>
        <w:ind w:left="80" w:hanging="7"/>
        <w:spacing w:after="0" w:line="284" w:lineRule="auto"/>
        <w:tabs>
          <w:tab w:leader="none" w:pos="660" w:val="left"/>
        </w:tabs>
        <w:numPr>
          <w:ilvl w:val="1"/>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Terms and Conditions. </w:t>
      </w:r>
      <w:r>
        <w:rPr>
          <w:rFonts w:ascii="Times New Roman" w:cs="Times New Roman" w:eastAsia="Times New Roman" w:hAnsi="Times New Roman"/>
          <w:sz w:val="18"/>
          <w:szCs w:val="18"/>
          <w:color w:val="auto"/>
        </w:rPr>
        <w:t>Subject to the provisions of the Plan, the Board shall determine the terms and conditions of each Other Stock-Based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Cash-Based Awards, including any purchase price applicable thereto.</w:t>
      </w:r>
    </w:p>
    <w:p>
      <w:pPr>
        <w:spacing w:after="0" w:line="50" w:lineRule="exact"/>
        <w:rPr>
          <w:rFonts w:ascii="Times New Roman" w:cs="Times New Roman" w:eastAsia="Times New Roman" w:hAnsi="Times New Roman"/>
          <w:sz w:val="18"/>
          <w:szCs w:val="18"/>
          <w:i w:val="1"/>
          <w:iCs w:val="1"/>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for Changes in Common Stock and Certain Other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8"/>
        <w:spacing w:after="0" w:line="253" w:lineRule="auto"/>
        <w:tabs>
          <w:tab w:leader="none" w:pos="2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any stock split, reverse stock split, stock dividend, recapitalization, combination of shares, reclassification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spin-off or other similar change in capitalization or event, or any dividend or distribution to holders of Common Stock other than an ordinary cash dividend, (i) the number and class of securities available under the Plan, (ii) the share counting rules set forth in Section 4(a); (iii) the number and class of securities and exercise price per share of each outstanding Option, (iv) the share- and per-share provisions and the measurement price of each SAR, (v) the number of shares subject to and the repurchase price per share, if any, subject to each outstanding Restricted Stock Award and (vi)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8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Reorganization Events.</w:t>
      </w:r>
    </w:p>
    <w:p>
      <w:pPr>
        <w:spacing w:after="0" w:line="11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661" w:val="left"/>
        </w:tabs>
        <w:numPr>
          <w:ilvl w:val="1"/>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Definition.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shall mean: (a) any merger or consolidation of the Company with or into another entity as a result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transactions or (c) any liquidation or dissolution of the Company.</w:t>
      </w:r>
    </w:p>
    <w:p>
      <w:pPr>
        <w:spacing w:after="0" w:line="70" w:lineRule="exact"/>
        <w:rPr>
          <w:rFonts w:ascii="Times New Roman" w:cs="Times New Roman" w:eastAsia="Times New Roman" w:hAnsi="Times New Roman"/>
          <w:sz w:val="17"/>
          <w:szCs w:val="17"/>
          <w:i w:val="1"/>
          <w:iCs w:val="1"/>
          <w:color w:val="auto"/>
        </w:rPr>
      </w:pPr>
    </w:p>
    <w:p>
      <w:pPr>
        <w:jc w:val="both"/>
        <w:ind w:left="340" w:hanging="8"/>
        <w:spacing w:after="0" w:line="253" w:lineRule="auto"/>
        <w:tabs>
          <w:tab w:leader="none" w:pos="661" w:val="left"/>
        </w:tabs>
        <w:numPr>
          <w:ilvl w:val="1"/>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Consequences of a Reorganization Event on Awards Other than Restricted Stock Awards. </w:t>
      </w:r>
      <w:r>
        <w:rPr>
          <w:rFonts w:ascii="Times New Roman" w:cs="Times New Roman" w:eastAsia="Times New Roman" w:hAnsi="Times New Roman"/>
          <w:sz w:val="18"/>
          <w:szCs w:val="18"/>
          <w:color w:val="auto"/>
        </w:rPr>
        <w:t>In connection with a Reorganization Event,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8"/>
          <w:szCs w:val="18"/>
          <w:b w:val="1"/>
          <w:bCs w:val="1"/>
          <w:i w:val="1"/>
          <w:iCs w:val="1"/>
          <w:color w:val="auto"/>
        </w:rPr>
        <w:t>Acquisition Price</w:t>
      </w:r>
      <w:r>
        <w:rPr>
          <w:rFonts w:ascii="Times New Roman" w:cs="Times New Roman" w:eastAsia="Times New Roman" w:hAnsi="Times New Roman"/>
          <w:sz w:val="18"/>
          <w:szCs w:val="18"/>
          <w:color w:val="auto"/>
        </w:rPr>
        <w:t>”),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4"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20"/>
          <w:szCs w:val="20"/>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to receive liquidation proceeds (if applicable, net of the exercise price thereof and any applicable tax withholdings) and (vi) any combination of the foregoing. In taking any of the actions permitted under this Section 9(b), the Board shall not be obligated by the Plan to treat all Awards, all Awards held by a Participant, or all Awards of the same type, identically.</w:t>
      </w:r>
    </w:p>
    <w:p>
      <w:pPr>
        <w:spacing w:after="0" w:line="68"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78" w:lineRule="exact"/>
        <w:rPr>
          <w:sz w:val="20"/>
          <w:szCs w:val="20"/>
          <w:color w:val="auto"/>
        </w:rPr>
      </w:pPr>
    </w:p>
    <w:p>
      <w:pPr>
        <w:jc w:val="both"/>
        <w:ind w:left="340" w:hanging="8"/>
        <w:spacing w:after="0" w:line="254" w:lineRule="auto"/>
        <w:tabs>
          <w:tab w:leader="none" w:pos="661"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Consequences of a Reorganization Event on Restricted Stock Awards. </w:t>
      </w:r>
      <w:r>
        <w:rPr>
          <w:rFonts w:ascii="Times New Roman" w:cs="Times New Roman" w:eastAsia="Times New Roman" w:hAnsi="Times New Roman"/>
          <w:sz w:val="18"/>
          <w:szCs w:val="18"/>
          <w:color w:val="auto"/>
        </w:rPr>
        <w:t>In connection with a Reorganization Event, the Board may take any one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 the following actions as to all or any (or any portion of) outstanding Restricted Stock Awards on such terms as the Board determines: (i) provide that Awards shall be assumed, or substantially equivalent Awards shall be substituted, by the acquiring or succeeding corporation (or an affiliate thereof), (ii) provide that restrictions applicable to an Award shall lapse, in whole or in part prior to or upon such Reorganization Event, (iii) in the event of a Reorganization Event under the terms of which holders of Common Stock will receive upon consummation thereof a cash payment of an Acquisition Price, make or provide for a cash payment to a Participant equal to the Acquisition Price times the number of shares of Common Stock subject to the Participant’s Awards, less any applicable tax withholdings, in exchange for the termination of such Awards, (iv) provide that, in connection with a liquidation or dissolution of the Company, Awards shall convert into the right to receive liquidation proceeds, net of any applicable tax withholdings and (v) any combination of the foregoing. In taking any of the actions permitted under this Section 9(b), the Board shall not be obligated by the Plan to treat all Awards, all Awards held by a Participant, or all Awards of the same type, identically.</w:t>
      </w:r>
    </w:p>
    <w:p>
      <w:pPr>
        <w:spacing w:after="0" w:line="7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For purposes of clause (i) above, a Restricted Stock Award shall be considered assumed if, following consummation of the Reorganization Event, the Restricted Stock Award confers the right to hold or receive upon the lapsing of the applicable restrictions or vesting and settlement of a Restricted Stock Unit, for each share of Common Stock subject to the Restricted Stock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vesting of the Restricted Stock Award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84"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66"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Applicable to Awards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4"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0"/>
          <w:szCs w:val="20"/>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32"/>
        <w:spacing w:after="0" w:line="254" w:lineRule="auto"/>
        <w:tabs>
          <w:tab w:leader="none" w:pos="64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Awards shall not be sold, assigned, transferred, pledged or otherwise encumbered by the person to whom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granted, either voluntarily or by operation of law, except by will or the laws of descent and distribution or,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spacing w:after="0" w:line="77" w:lineRule="exact"/>
        <w:rPr>
          <w:rFonts w:ascii="Times New Roman" w:cs="Times New Roman" w:eastAsia="Times New Roman" w:hAnsi="Times New Roman"/>
          <w:sz w:val="18"/>
          <w:szCs w:val="18"/>
          <w:i w:val="1"/>
          <w:iCs w:val="1"/>
          <w:color w:val="auto"/>
        </w:rPr>
      </w:pPr>
    </w:p>
    <w:p>
      <w:pPr>
        <w:jc w:val="both"/>
        <w:ind w:firstLine="332"/>
        <w:spacing w:after="0" w:line="267" w:lineRule="auto"/>
        <w:tabs>
          <w:tab w:leader="none" w:pos="64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Documentation. </w:t>
      </w:r>
      <w:r>
        <w:rPr>
          <w:rFonts w:ascii="Times New Roman" w:cs="Times New Roman" w:eastAsia="Times New Roman" w:hAnsi="Times New Roman"/>
          <w:sz w:val="18"/>
          <w:szCs w:val="18"/>
          <w:color w:val="auto"/>
        </w:rPr>
        <w:t>Each Award shall be evidenced in such form (written, electronic or otherwise) as the Board shall determine. Each Award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 terms and conditions in addition to those set forth in the Plan. In the event of any conflict or inconsistency between the Plan and any Award agreement, the Plan shall govern and the Award agreement shall be interpreted to minimize or eliminate any such conflict or inconsistency.</w:t>
      </w:r>
    </w:p>
    <w:p>
      <w:pPr>
        <w:spacing w:after="0" w:line="65" w:lineRule="exact"/>
        <w:rPr>
          <w:rFonts w:ascii="Times New Roman" w:cs="Times New Roman" w:eastAsia="Times New Roman" w:hAnsi="Times New Roman"/>
          <w:sz w:val="18"/>
          <w:szCs w:val="18"/>
          <w:i w:val="1"/>
          <w:iCs w:val="1"/>
          <w:color w:val="auto"/>
        </w:rPr>
      </w:pPr>
    </w:p>
    <w:p>
      <w:pPr>
        <w:ind w:right="20" w:firstLine="332"/>
        <w:spacing w:after="0" w:line="284" w:lineRule="auto"/>
        <w:tabs>
          <w:tab w:leader="none" w:pos="64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Board Discretion. </w:t>
      </w:r>
      <w:r>
        <w:rPr>
          <w:rFonts w:ascii="Times New Roman" w:cs="Times New Roman" w:eastAsia="Times New Roman" w:hAnsi="Times New Roman"/>
          <w:sz w:val="18"/>
          <w:szCs w:val="18"/>
          <w:color w:val="auto"/>
        </w:rPr>
        <w:t>Except as otherwise provided by the Plan, each Award may be made alone or in addition or in relation to any other Award.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each Award need not be identical. In exercising its authority under the terms of the Plan, the Board need not treat Participants uniformly.</w:t>
      </w:r>
    </w:p>
    <w:p>
      <w:pPr>
        <w:spacing w:after="0" w:line="50" w:lineRule="exact"/>
        <w:rPr>
          <w:rFonts w:ascii="Times New Roman" w:cs="Times New Roman" w:eastAsia="Times New Roman" w:hAnsi="Times New Roman"/>
          <w:sz w:val="18"/>
          <w:szCs w:val="18"/>
          <w:i w:val="1"/>
          <w:iCs w:val="1"/>
          <w:color w:val="auto"/>
        </w:rPr>
      </w:pPr>
    </w:p>
    <w:p>
      <w:pPr>
        <w:jc w:val="both"/>
        <w:ind w:firstLine="332"/>
        <w:spacing w:after="0" w:line="267" w:lineRule="auto"/>
        <w:tabs>
          <w:tab w:leader="none" w:pos="64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Termination of Status. </w:t>
      </w:r>
      <w:r>
        <w:rPr>
          <w:rFonts w:ascii="Times New Roman" w:cs="Times New Roman" w:eastAsia="Times New Roman" w:hAnsi="Times New Roman"/>
          <w:sz w:val="18"/>
          <w:szCs w:val="18"/>
          <w:color w:val="auto"/>
        </w:rPr>
        <w:t>The Board shall determine the effect on an Award of the disability, death, termination or other cessation of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65" w:lineRule="exact"/>
        <w:rPr>
          <w:rFonts w:ascii="Times New Roman" w:cs="Times New Roman" w:eastAsia="Times New Roman" w:hAnsi="Times New Roman"/>
          <w:sz w:val="18"/>
          <w:szCs w:val="18"/>
          <w:i w:val="1"/>
          <w:iCs w:val="1"/>
          <w:color w:val="auto"/>
        </w:rPr>
      </w:pPr>
    </w:p>
    <w:p>
      <w:pPr>
        <w:jc w:val="both"/>
        <w:ind w:firstLine="332"/>
        <w:spacing w:after="0" w:line="253" w:lineRule="auto"/>
        <w:tabs>
          <w:tab w:leader="none" w:pos="64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Withholding. </w:t>
      </w:r>
      <w:r>
        <w:rPr>
          <w:rFonts w:ascii="Times New Roman" w:cs="Times New Roman" w:eastAsia="Times New Roman" w:hAnsi="Times New Roman"/>
          <w:sz w:val="18"/>
          <w:szCs w:val="18"/>
          <w:color w:val="auto"/>
        </w:rPr>
        <w:t>The Participant must satisfy all applicable federal, state, and local or other income and employment tax withholding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all or any portion of the Company’s statutory minimum tax obligations, or, if greater, a Participant’s election for tax withholding up to an amount determined under the maximum individual statutory tax rates in the applicable jurisdiction, by delivery (either by actual delivery or attestation) of shares of Common Stock, including shares retained from the Award creating the tax obligation, valued at their Fair Market Value. Shares used to satisfy tax withholding requirements cannot be subject to any repurchase, forfeiture, unfulfilled vesting or other similar requirements.</w:t>
      </w:r>
    </w:p>
    <w:p>
      <w:pPr>
        <w:spacing w:after="0" w:line="83" w:lineRule="exact"/>
        <w:rPr>
          <w:rFonts w:ascii="Times New Roman" w:cs="Times New Roman" w:eastAsia="Times New Roman" w:hAnsi="Times New Roman"/>
          <w:sz w:val="18"/>
          <w:szCs w:val="18"/>
          <w:i w:val="1"/>
          <w:iCs w:val="1"/>
          <w:color w:val="auto"/>
        </w:rPr>
      </w:pPr>
    </w:p>
    <w:p>
      <w:pPr>
        <w:jc w:val="both"/>
        <w:ind w:firstLine="332"/>
        <w:spacing w:after="0" w:line="261" w:lineRule="auto"/>
        <w:tabs>
          <w:tab w:leader="none" w:pos="64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 of Award. </w:t>
      </w:r>
      <w:r>
        <w:rPr>
          <w:rFonts w:ascii="Times New Roman" w:cs="Times New Roman" w:eastAsia="Times New Roman" w:hAnsi="Times New Roman"/>
          <w:sz w:val="18"/>
          <w:szCs w:val="18"/>
          <w:color w:val="auto"/>
        </w:rPr>
        <w:t>The Board may amend, modify or terminate any outstanding Award, including but not limited to, substituting therefor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Award of the same or a different type, and changing the date of exercise or realization. The Participant’s consent to such action shall be required unless (i) the Board determines that the action, taking into account any related action, would not materially and adversely affect the Participant’s rights under the Plan or (ii) the change is permitted under Section 9 hereof.</w:t>
      </w:r>
    </w:p>
    <w:p>
      <w:pPr>
        <w:spacing w:after="0" w:line="71" w:lineRule="exact"/>
        <w:rPr>
          <w:rFonts w:ascii="Times New Roman" w:cs="Times New Roman" w:eastAsia="Times New Roman" w:hAnsi="Times New Roman"/>
          <w:sz w:val="18"/>
          <w:szCs w:val="18"/>
          <w:i w:val="1"/>
          <w:iCs w:val="1"/>
          <w:color w:val="auto"/>
        </w:rPr>
      </w:pPr>
    </w:p>
    <w:p>
      <w:pPr>
        <w:jc w:val="both"/>
        <w:ind w:firstLine="332"/>
        <w:spacing w:after="0" w:line="257" w:lineRule="auto"/>
        <w:tabs>
          <w:tab w:leader="none" w:pos="642"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Conditions on Delivery of Stock. </w:t>
      </w:r>
      <w:r>
        <w:rPr>
          <w:rFonts w:ascii="Times New Roman" w:cs="Times New Roman" w:eastAsia="Times New Roman" w:hAnsi="Times New Roman"/>
          <w:sz w:val="18"/>
          <w:szCs w:val="18"/>
          <w:color w:val="auto"/>
        </w:rPr>
        <w:t>The Company will not be obligated to deliver any shares of Common Stock pursuant to the Plan or to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14"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0"/>
          <w:szCs w:val="20"/>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332"/>
        <w:spacing w:after="0" w:line="284" w:lineRule="auto"/>
        <w:tabs>
          <w:tab w:leader="none" w:pos="642"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Acceleration. </w:t>
      </w:r>
      <w:r>
        <w:rPr>
          <w:rFonts w:ascii="Times New Roman" w:cs="Times New Roman" w:eastAsia="Times New Roman" w:hAnsi="Times New Roman"/>
          <w:sz w:val="18"/>
          <w:szCs w:val="18"/>
          <w:color w:val="auto"/>
        </w:rPr>
        <w:t>The Board may at any time provide that any Award shall become immediately exercisable in full or in part, free of some 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or conditions, or otherwise realizable in full or in part, as the case may be.</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Performance Awards.</w:t>
      </w:r>
    </w:p>
    <w:p>
      <w:pPr>
        <w:spacing w:after="0" w:line="117" w:lineRule="exact"/>
        <w:rPr>
          <w:sz w:val="20"/>
          <w:szCs w:val="20"/>
          <w:color w:val="auto"/>
        </w:rPr>
      </w:pPr>
    </w:p>
    <w:p>
      <w:pPr>
        <w:jc w:val="both"/>
        <w:ind w:left="340" w:hanging="8"/>
        <w:spacing w:after="0" w:line="267" w:lineRule="auto"/>
        <w:tabs>
          <w:tab w:leader="none" w:pos="661" w:val="left"/>
        </w:tabs>
        <w:numPr>
          <w:ilvl w:val="1"/>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Grants. </w:t>
      </w:r>
      <w:r>
        <w:rPr>
          <w:rFonts w:ascii="Times New Roman" w:cs="Times New Roman" w:eastAsia="Times New Roman" w:hAnsi="Times New Roman"/>
          <w:sz w:val="18"/>
          <w:szCs w:val="18"/>
          <w:color w:val="auto"/>
        </w:rPr>
        <w:t>Options, Restricted Stock Awards, Other Stock-Based Awards and Cash-Based Awards under the Plan may be made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performance goals pursuant to this Section 10(i) (“</w:t>
      </w: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Subject to Section 10(i)(4), no Performance Awards shall vest prior to the first anniversary of the date of grant.</w:t>
      </w:r>
    </w:p>
    <w:p>
      <w:pPr>
        <w:spacing w:after="0" w:line="65" w:lineRule="exact"/>
        <w:rPr>
          <w:rFonts w:ascii="Times New Roman" w:cs="Times New Roman" w:eastAsia="Times New Roman" w:hAnsi="Times New Roman"/>
          <w:sz w:val="17"/>
          <w:szCs w:val="17"/>
          <w:i w:val="1"/>
          <w:iCs w:val="1"/>
          <w:color w:val="auto"/>
        </w:rPr>
      </w:pPr>
    </w:p>
    <w:p>
      <w:pPr>
        <w:jc w:val="both"/>
        <w:ind w:left="340" w:hanging="8"/>
        <w:spacing w:after="0" w:line="253" w:lineRule="auto"/>
        <w:tabs>
          <w:tab w:leader="none" w:pos="661" w:val="left"/>
        </w:tabs>
        <w:numPr>
          <w:ilvl w:val="1"/>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Performance Measures. </w:t>
      </w:r>
      <w:r>
        <w:rPr>
          <w:rFonts w:ascii="Times New Roman" w:cs="Times New Roman" w:eastAsia="Times New Roman" w:hAnsi="Times New Roman"/>
          <w:sz w:val="18"/>
          <w:szCs w:val="18"/>
          <w:color w:val="auto"/>
        </w:rPr>
        <w:t>For each Performance Award, the Board shall specify that the degree of granting, vesting and/or payout shall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achievement of one or more objective performance measures established by the Board, which shall be based on the relative or absolute attainment of specified levels of one or any combination of the following: net income, earnings before or after discontinued operations, interest, taxes, depreciation and/or amortization, operating profit before or after discontinued operations and/or taxes, sales, sales growth, earnings growth, cash flow or cash position, gross margins, stock price, market share, return on sales, assets, equity or investment, improvement of financial ratings, achievement of balance sheet or income statement objectives, total shareholder return, or any other strategic, operational or individual performance goals as the Board may determine.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in its sole discretion may adjust the performance measures to include, exclude or otherwise reflect any one or more of (i) extraordinary items, (ii) gains or losses on the dispositions of discontinued operations, (iii) the cumulative effects of changes in accounting principles, (iv) the writedown of any asset, (v) charges for restructuring and rationalization programs, and (vi) other material changes to the business. Such performance measures: (i) may vary by Participant and may be different for different Awards; and (ii) may be particular to a Participant or the department, branch, line of business, subsidiary or other unit in which the Participant works and may cover such period as may be specified by the Board.</w:t>
      </w:r>
    </w:p>
    <w:p>
      <w:pPr>
        <w:spacing w:after="0" w:line="77" w:lineRule="exact"/>
        <w:rPr>
          <w:rFonts w:ascii="Times New Roman" w:cs="Times New Roman" w:eastAsia="Times New Roman" w:hAnsi="Times New Roman"/>
          <w:sz w:val="17"/>
          <w:szCs w:val="17"/>
          <w:i w:val="1"/>
          <w:iCs w:val="1"/>
          <w:color w:val="auto"/>
        </w:rPr>
      </w:pPr>
    </w:p>
    <w:p>
      <w:pPr>
        <w:jc w:val="both"/>
        <w:ind w:firstLine="8"/>
        <w:spacing w:after="0" w:line="275" w:lineRule="auto"/>
        <w:tabs>
          <w:tab w:leader="none" w:pos="633"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xml:space="preserve">Forfeiture Events; Clawback. </w:t>
      </w:r>
      <w:r>
        <w:rPr>
          <w:rFonts w:ascii="Times New Roman" w:cs="Times New Roman" w:eastAsia="Times New Roman" w:hAnsi="Times New Roman"/>
          <w:sz w:val="18"/>
          <w:szCs w:val="18"/>
          <w:color w:val="auto"/>
        </w:rPr>
        <w:t>Awards granted pursuant to the Plan shall be subject to the terms of the clawback policy adopted by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effect from time to time, as well as any recoupment/forfeiture provisions required by law and applicable to the Company or its Subsidiaries or specified in any Award agreement.</w:t>
      </w:r>
    </w:p>
    <w:p>
      <w:pPr>
        <w:spacing w:after="0" w:line="57" w:lineRule="exact"/>
        <w:rPr>
          <w:rFonts w:ascii="Times New Roman" w:cs="Times New Roman" w:eastAsia="Times New Roman" w:hAnsi="Times New Roman"/>
          <w:sz w:val="17"/>
          <w:szCs w:val="17"/>
          <w:i w:val="1"/>
          <w:iCs w:val="1"/>
          <w:color w:val="auto"/>
        </w:rPr>
      </w:pPr>
    </w:p>
    <w:p>
      <w:pPr>
        <w:ind w:left="660" w:hanging="652"/>
        <w:spacing w:after="0"/>
        <w:tabs>
          <w:tab w:leader="none" w:pos="660"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332"/>
        <w:spacing w:after="0" w:line="261" w:lineRule="auto"/>
        <w:tabs>
          <w:tab w:leader="none" w:pos="642"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Right To Employment or Other Status. </w:t>
      </w:r>
      <w:r>
        <w:rPr>
          <w:rFonts w:ascii="Times New Roman" w:cs="Times New Roman" w:eastAsia="Times New Roman" w:hAnsi="Times New Roman"/>
          <w:sz w:val="18"/>
          <w:szCs w:val="18"/>
          <w:color w:val="auto"/>
        </w:rPr>
        <w:t>No person shall have any claim or right to be granted an Award, and the grant of an Award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71" w:lineRule="exact"/>
        <w:rPr>
          <w:rFonts w:ascii="Times New Roman" w:cs="Times New Roman" w:eastAsia="Times New Roman" w:hAnsi="Times New Roman"/>
          <w:sz w:val="18"/>
          <w:szCs w:val="18"/>
          <w:i w:val="1"/>
          <w:iCs w:val="1"/>
          <w:color w:val="auto"/>
        </w:rPr>
      </w:pPr>
    </w:p>
    <w:p>
      <w:pPr>
        <w:jc w:val="both"/>
        <w:ind w:firstLine="332"/>
        <w:spacing w:after="0" w:line="267" w:lineRule="auto"/>
        <w:tabs>
          <w:tab w:leader="none" w:pos="642"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 Rights As Stockholder. </w:t>
      </w:r>
      <w:r>
        <w:rPr>
          <w:rFonts w:ascii="Times New Roman" w:cs="Times New Roman" w:eastAsia="Times New Roman" w:hAnsi="Times New Roman"/>
          <w:sz w:val="18"/>
          <w:szCs w:val="18"/>
          <w:color w:val="auto"/>
        </w:rPr>
        <w:t>Except with respect to Restricted Stock or as otherwise explicitly provided in the applicable Award, no Participant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Beneficiary shall have any rights as a stockholder with respect to any shares of Common Stock to be distributed with respect to an Award until becoming the record holder of such shares.</w:t>
      </w:r>
    </w:p>
    <w:p>
      <w:pPr>
        <w:spacing w:after="0" w:line="63" w:lineRule="exact"/>
        <w:rPr>
          <w:rFonts w:ascii="Times New Roman" w:cs="Times New Roman" w:eastAsia="Times New Roman" w:hAnsi="Times New Roman"/>
          <w:sz w:val="18"/>
          <w:szCs w:val="18"/>
          <w:i w:val="1"/>
          <w:iCs w:val="1"/>
          <w:color w:val="auto"/>
        </w:rPr>
      </w:pPr>
    </w:p>
    <w:p>
      <w:pPr>
        <w:jc w:val="both"/>
        <w:ind w:firstLine="332"/>
        <w:spacing w:after="0" w:line="268" w:lineRule="auto"/>
        <w:tabs>
          <w:tab w:leader="none" w:pos="64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Adoption Date and Term of Plan. </w:t>
      </w:r>
      <w:r>
        <w:rPr>
          <w:rFonts w:ascii="Times New Roman" w:cs="Times New Roman" w:eastAsia="Times New Roman" w:hAnsi="Times New Roman"/>
          <w:sz w:val="18"/>
          <w:szCs w:val="18"/>
          <w:color w:val="auto"/>
        </w:rPr>
        <w:t>The Plan became effective by approval of the Board on January 8, 2018 (the “</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was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9, 2022, February 13, 2024 and May 17, 2024, and has been amended and restated as of September 30, 2024. No Awards shall be granted under the Plan after the expiration of 10 years from the Adoption Date, but Awards previously granted may extend beyond that date.</w:t>
      </w:r>
    </w:p>
    <w:p>
      <w:pPr>
        <w:spacing w:after="0" w:line="64" w:lineRule="exact"/>
        <w:rPr>
          <w:rFonts w:ascii="Times New Roman" w:cs="Times New Roman" w:eastAsia="Times New Roman" w:hAnsi="Times New Roman"/>
          <w:sz w:val="18"/>
          <w:szCs w:val="18"/>
          <w:i w:val="1"/>
          <w:iCs w:val="1"/>
          <w:color w:val="auto"/>
        </w:rPr>
      </w:pPr>
    </w:p>
    <w:p>
      <w:pPr>
        <w:jc w:val="both"/>
        <w:ind w:firstLine="332"/>
        <w:spacing w:after="0" w:line="267" w:lineRule="auto"/>
        <w:tabs>
          <w:tab w:leader="none" w:pos="642"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Amendment of Plan. </w:t>
      </w:r>
      <w:r>
        <w:rPr>
          <w:rFonts w:ascii="Times New Roman" w:cs="Times New Roman" w:eastAsia="Times New Roman" w:hAnsi="Times New Roman"/>
          <w:sz w:val="18"/>
          <w:szCs w:val="18"/>
          <w:color w:val="auto"/>
        </w:rPr>
        <w:t>The Board may amend, suspend or terminate the Plan or any portion thereof at any time provided that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amendment, any amendment to the Plan adopted in accordance with this Section 11(d) shall apply to, and be binding on the holders of, all Awards outstanding under the Plan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14"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the amendment is adopted, provided the Board determines that such amendment does not materially and adversely affect the rights of Participants under the Plan. No Award shall be made that is conditioned upon stockholder approval of any amendment to the Plan.</w:t>
      </w:r>
    </w:p>
    <w:p>
      <w:pPr>
        <w:spacing w:after="0" w:line="52" w:lineRule="exact"/>
        <w:rPr>
          <w:sz w:val="20"/>
          <w:szCs w:val="20"/>
          <w:color w:val="auto"/>
        </w:rPr>
      </w:pPr>
    </w:p>
    <w:p>
      <w:pPr>
        <w:jc w:val="both"/>
        <w:ind w:firstLine="332"/>
        <w:spacing w:after="0" w:line="257" w:lineRule="auto"/>
        <w:tabs>
          <w:tab w:leader="none" w:pos="64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Authorization of Sub-Plans. </w:t>
      </w:r>
      <w:r>
        <w:rPr>
          <w:rFonts w:ascii="Times New Roman" w:cs="Times New Roman" w:eastAsia="Times New Roman" w:hAnsi="Times New Roman"/>
          <w:sz w:val="18"/>
          <w:szCs w:val="18"/>
          <w:color w:val="auto"/>
        </w:rPr>
        <w:t>The Board may from time to time establish one or more sub-plans under the Plan for purposes of satisfying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tax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74" w:lineRule="exact"/>
        <w:rPr>
          <w:rFonts w:ascii="Times New Roman" w:cs="Times New Roman" w:eastAsia="Times New Roman" w:hAnsi="Times New Roman"/>
          <w:sz w:val="18"/>
          <w:szCs w:val="18"/>
          <w:i w:val="1"/>
          <w:iCs w:val="1"/>
          <w:color w:val="auto"/>
        </w:rPr>
      </w:pPr>
    </w:p>
    <w:p>
      <w:pPr>
        <w:jc w:val="both"/>
        <w:ind w:firstLine="332"/>
        <w:spacing w:after="0" w:line="256" w:lineRule="auto"/>
        <w:tabs>
          <w:tab w:leader="none" w:pos="642"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Non U.S. Employees. </w:t>
      </w:r>
      <w:r>
        <w:rPr>
          <w:rFonts w:ascii="Times New Roman" w:cs="Times New Roman" w:eastAsia="Times New Roman" w:hAnsi="Times New Roman"/>
          <w:sz w:val="18"/>
          <w:szCs w:val="18"/>
          <w:color w:val="auto"/>
        </w:rPr>
        <w:t>Awards may be granted to Eligible Individuals who are non-U.S. citizens or residents employed outside the United States,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on such terms and conditions different from those applicable to Awards to Eligible Individuals who are citizens of the United States as may, in the judgment of the Board, be necessary or desirable in order to recognize differences in local law or tax policy. The Board also may impose conditions on the exercise or vesting of Awards in order to minimize the Board’s obligation with respect to tax equalization for Participants on assignments outside their home country. The Board may approve such supplements to or amendments, restatements or alternative versions of the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w:t>
      </w:r>
    </w:p>
    <w:p>
      <w:pPr>
        <w:spacing w:after="0" w:line="74" w:lineRule="exact"/>
        <w:rPr>
          <w:rFonts w:ascii="Times New Roman" w:cs="Times New Roman" w:eastAsia="Times New Roman" w:hAnsi="Times New Roman"/>
          <w:sz w:val="18"/>
          <w:szCs w:val="18"/>
          <w:i w:val="1"/>
          <w:iCs w:val="1"/>
          <w:color w:val="auto"/>
        </w:rPr>
      </w:pPr>
    </w:p>
    <w:p>
      <w:pPr>
        <w:jc w:val="both"/>
        <w:ind w:firstLine="332"/>
        <w:spacing w:after="0" w:line="253" w:lineRule="auto"/>
        <w:tabs>
          <w:tab w:leader="none" w:pos="642"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Compliance with Section 409A of the Code. </w:t>
      </w:r>
      <w:r>
        <w:rPr>
          <w:rFonts w:ascii="Times New Roman" w:cs="Times New Roman" w:eastAsia="Times New Roman" w:hAnsi="Times New Roman"/>
          <w:sz w:val="18"/>
          <w:szCs w:val="18"/>
          <w:color w:val="auto"/>
        </w:rPr>
        <w:t>Except as provided in individual Award agreements initially or by amendment, if and to the extent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any payment, compensation or other benefit provided to a Participant in connection with his or her employment termination is determined to constitute “nonqualified deferred compensation” within the meaning of Section 409A of the Code and the Participant is a specified employee as defined in Section 409A(a)(2)(B)(i) of the Code, as determined by the Company in accordance with its procedures, by which determination the Participant (through accepting the Award) agrees that he or she is bound, such portion of the payment, compensation or other benefit shall not be paid before the day that is six months plus one day after the date of “separation from service” (as determined under Code Section 409A) (the “</w:t>
      </w:r>
      <w:r>
        <w:rPr>
          <w:rFonts w:ascii="Times New Roman" w:cs="Times New Roman" w:eastAsia="Times New Roman" w:hAnsi="Times New Roman"/>
          <w:sz w:val="18"/>
          <w:szCs w:val="18"/>
          <w:b w:val="1"/>
          <w:bCs w:val="1"/>
          <w:i w:val="1"/>
          <w:iCs w:val="1"/>
          <w:color w:val="auto"/>
        </w:rPr>
        <w:t>New Payment Date</w:t>
      </w:r>
      <w:r>
        <w:rPr>
          <w:rFonts w:ascii="Times New Roman" w:cs="Times New Roman" w:eastAsia="Times New Roman" w:hAnsi="Times New Roman"/>
          <w:sz w:val="18"/>
          <w:szCs w:val="18"/>
          <w:color w:val="auto"/>
        </w:rPr>
        <w:t>”),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The Company makes no representations or warranty and shall have no liability to the Participant or any other person if any provisions of or payments, compensation or other benefits under the Plan are determined to constitute nonqualified deferred compensation subject to Code Section 409A but do not to satisfy the conditions of that section.</w:t>
      </w:r>
    </w:p>
    <w:p>
      <w:pPr>
        <w:spacing w:after="0" w:line="83" w:lineRule="exact"/>
        <w:rPr>
          <w:rFonts w:ascii="Times New Roman" w:cs="Times New Roman" w:eastAsia="Times New Roman" w:hAnsi="Times New Roman"/>
          <w:sz w:val="18"/>
          <w:szCs w:val="18"/>
          <w:i w:val="1"/>
          <w:iCs w:val="1"/>
          <w:color w:val="auto"/>
        </w:rPr>
      </w:pPr>
    </w:p>
    <w:p>
      <w:pPr>
        <w:jc w:val="both"/>
        <w:ind w:firstLine="332"/>
        <w:spacing w:after="0" w:line="256" w:lineRule="auto"/>
        <w:tabs>
          <w:tab w:leader="none" w:pos="642"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Limitations on Liability. </w:t>
      </w:r>
      <w:r>
        <w:rPr>
          <w:rFonts w:ascii="Times New Roman" w:cs="Times New Roman" w:eastAsia="Times New Roman" w:hAnsi="Times New Roman"/>
          <w:sz w:val="18"/>
          <w:szCs w:val="18"/>
          <w:color w:val="auto"/>
        </w:rPr>
        <w:t>Notwithstanding any other provisions of the Plan, no individual acting as a director, officer, other employee, or agent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this Plan unless arising out of such person’s own fraud or bad faith.</w:t>
      </w:r>
    </w:p>
    <w:p>
      <w:pPr>
        <w:spacing w:after="0" w:line="74" w:lineRule="exact"/>
        <w:rPr>
          <w:rFonts w:ascii="Times New Roman" w:cs="Times New Roman" w:eastAsia="Times New Roman" w:hAnsi="Times New Roman"/>
          <w:sz w:val="18"/>
          <w:szCs w:val="18"/>
          <w:i w:val="1"/>
          <w:iCs w:val="1"/>
          <w:color w:val="auto"/>
        </w:rPr>
      </w:pPr>
    </w:p>
    <w:p>
      <w:pPr>
        <w:jc w:val="both"/>
        <w:ind w:firstLine="332"/>
        <w:spacing w:after="0" w:line="267" w:lineRule="auto"/>
        <w:tabs>
          <w:tab w:leader="none" w:pos="642"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provisions of the Plan and all Awards made hereunder shall be governed by and interpreted in accordance with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excluding choice-of-law principles of the law of such state that would require the application of the laws of a jurisdiction other than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14" w:right="339" w:bottom="1440" w:gutter="0" w:footer="0" w:header="0"/>
        </w:sectPr>
      </w:pPr>
    </w:p>
    <w:bookmarkStart w:id="25" w:name="page26"/>
    <w:bookmarkEnd w:id="25"/>
    <w:p>
      <w:pPr>
        <w:ind w:left="9980"/>
        <w:spacing w:after="0"/>
        <w:rPr>
          <w:sz w:val="20"/>
          <w:szCs w:val="20"/>
          <w:color w:val="auto"/>
        </w:rPr>
      </w:pPr>
      <w:r>
        <w:rPr>
          <w:rFonts w:ascii="Times New Roman" w:cs="Times New Roman" w:eastAsia="Times New Roman" w:hAnsi="Times New Roman"/>
          <w:sz w:val="18"/>
          <w:szCs w:val="18"/>
          <w:b w:val="1"/>
          <w:b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to the Amended and Restated LivePerson, Inc. 2018 Inducement Plan</w:t>
      </w:r>
    </w:p>
    <w:p>
      <w:pPr>
        <w:spacing w:after="0" w:line="285"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19"/>
          <w:szCs w:val="19"/>
          <w:color w:val="auto"/>
        </w:rPr>
        <w:t>This Amendment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of the Amended and Restated LivePerson, Inc. 2018 Inducement Plan, is dated as of December 10, 2024.</w:t>
      </w:r>
    </w:p>
    <w:p>
      <w:pPr>
        <w:spacing w:after="0" w:line="174"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LivePerson,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maintains the Amended and Restated LivePerson, Inc. 2018 Inducement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w:t>
      </w:r>
    </w:p>
    <w:p>
      <w:pPr>
        <w:spacing w:after="0" w:line="17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Board of Directors of the Company deems it to be in the best interest of the Company to amend the Plan to increase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number of shares available for issuance under the Plan by 2,333,333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the Plan shall be amended as follows:</w:t>
      </w:r>
    </w:p>
    <w:p>
      <w:pPr>
        <w:spacing w:after="0" w:line="299" w:lineRule="exact"/>
        <w:rPr>
          <w:sz w:val="20"/>
          <w:szCs w:val="20"/>
          <w:color w:val="auto"/>
        </w:rPr>
      </w:pPr>
    </w:p>
    <w:p>
      <w:pPr>
        <w:ind w:left="640" w:right="20" w:hanging="325"/>
        <w:spacing w:after="0" w:line="310" w:lineRule="auto"/>
        <w:tabs>
          <w:tab w:leader="none" w:pos="63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Available for Awards. Subsection 4(a)(1) of the Plan shall be deleted in its entirety and the following substituted in lieu thereof:</w:t>
      </w:r>
    </w:p>
    <w:p>
      <w:pPr>
        <w:spacing w:after="0" w:line="174" w:lineRule="exact"/>
        <w:rPr>
          <w:rFonts w:ascii="Times New Roman" w:cs="Times New Roman" w:eastAsia="Times New Roman" w:hAnsi="Times New Roman"/>
          <w:sz w:val="19"/>
          <w:szCs w:val="19"/>
          <w:color w:val="auto"/>
        </w:rPr>
      </w:pPr>
    </w:p>
    <w:p>
      <w:pPr>
        <w:jc w:val="both"/>
        <w:ind w:left="640"/>
        <w:spacing w:after="0" w:line="26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(a)(1) </w:t>
      </w:r>
      <w:r>
        <w:rPr>
          <w:rFonts w:ascii="Times New Roman" w:cs="Times New Roman" w:eastAsia="Times New Roman" w:hAnsi="Times New Roman"/>
          <w:sz w:val="19"/>
          <w:szCs w:val="19"/>
          <w:i w:val="1"/>
          <w:iCs w:val="1"/>
          <w:color w:val="auto"/>
        </w:rPr>
        <w:t>Number of Shares</w:t>
      </w:r>
      <w:r>
        <w:rPr>
          <w:rFonts w:ascii="Times New Roman" w:cs="Times New Roman" w:eastAsia="Times New Roman" w:hAnsi="Times New Roman"/>
          <w:sz w:val="19"/>
          <w:szCs w:val="19"/>
          <w:color w:val="auto"/>
        </w:rPr>
        <w:t>. Subject to adjustment under Section 9, Awards may be made under the Plan for up to the number of shares of common stock, $0.001 par value per share, of the Company (the “</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that is equal to 15,412,342 shares of Common Stock.</w:t>
      </w:r>
    </w:p>
    <w:p>
      <w:pPr>
        <w:spacing w:after="0" w:line="241" w:lineRule="exact"/>
        <w:rPr>
          <w:rFonts w:ascii="Times New Roman" w:cs="Times New Roman" w:eastAsia="Times New Roman" w:hAnsi="Times New Roman"/>
          <w:sz w:val="19"/>
          <w:szCs w:val="19"/>
          <w:color w:val="auto"/>
        </w:rPr>
      </w:pPr>
    </w:p>
    <w:p>
      <w:pPr>
        <w:ind w:left="640" w:hanging="325"/>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9"/>
          <w:szCs w:val="19"/>
          <w:color w:val="auto"/>
        </w:rPr>
        <w:t>Except as expressly amended by this Amendment, all terms and conditions of the Plan shall remain in full force and effect.</w:t>
      </w:r>
    </w:p>
    <w:p>
      <w:pPr>
        <w:spacing w:after="0" w:line="251"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undersigned Secretary of the Company certifies that the foregoing Amendment to the Plan was duly adopted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LIVEPERSON, INC.</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Monica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-10160</wp:posOffset>
            </wp:positionV>
            <wp:extent cx="1074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Monica Greenberg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Executive Vice President of Policy and General Counsel</w:t>
      </w:r>
    </w:p>
    <w:sectPr>
      <w:pgSz w:w="11900" w:h="16838" w:orient="portrait"/>
      <w:cols w:equalWidth="0" w:num="1">
        <w:col w:w="10740"/>
      </w:cols>
      <w:pgMar w:left="580" w:top="11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Letter"/>
      <w:start w:val="1"/>
    </w:lvl>
  </w:abstractNum>
  <w:abstractNum w:abstractNumId="1">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
    <w:nsid w:val="62BBD95A"/>
    <w:multiLevelType w:val="hybridMultilevel"/>
    <w:lvl w:ilvl="0">
      <w:lvlJc w:val="left"/>
      <w:lvlText w:val="(%1)"/>
      <w:numFmt w:val="lowerRoman"/>
      <w:start w:val="2"/>
    </w:lvl>
  </w:abstractNum>
  <w:abstractNum w:abstractNumId="3">
    <w:nsid w:val="436C6125"/>
    <w:multiLevelType w:val="hybridMultilevel"/>
    <w:lvl w:ilvl="0">
      <w:lvlJc w:val="left"/>
      <w:lvlText w:val="%1"/>
      <w:numFmt w:val="lowerLetter"/>
      <w:start w:val="1"/>
    </w:lvl>
    <w:lvl w:ilvl="1">
      <w:lvlJc w:val="left"/>
      <w:lvlText w:val="(%2)"/>
      <w:numFmt w:val="decimal"/>
      <w:start w:val="2"/>
    </w:lvl>
  </w:abstractNum>
  <w:abstractNum w:abstractNumId="4">
    <w:nsid w:val="628C895D"/>
    <w:multiLevelType w:val="hybridMultilevel"/>
    <w:lvl w:ilvl="0">
      <w:lvlJc w:val="left"/>
      <w:lvlText w:val="(%1)"/>
      <w:numFmt w:val="lowerLetter"/>
      <w:start w:val="2"/>
    </w:lvl>
    <w:lvl w:ilvl="1">
      <w:lvlJc w:val="left"/>
      <w:lvlText w:val="%2"/>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1)"/>
      <w:numFmt w:val="lowerRoman"/>
      <w:start w:val="3"/>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2"/>
    </w:lvl>
  </w:abstractNum>
  <w:abstractNum w:abstractNumId="11">
    <w:nsid w:val="8EDBDAB"/>
    <w:multiLevelType w:val="hybridMultilevel"/>
    <w:lvl w:ilvl="0">
      <w:lvlJc w:val="left"/>
      <w:lvlText w:val="%1."/>
      <w:numFmt w:val="decimal"/>
      <w:start w:val="3"/>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lowerLetter"/>
      <w:start w:val="1"/>
    </w:lvl>
    <w:lvl w:ilvl="1">
      <w:lvlJc w:val="left"/>
      <w:lvlText w:val="(%2)"/>
      <w:numFmt w:val="decimal"/>
      <w:start w:val="1"/>
    </w:lvl>
  </w:abstractNum>
  <w:abstractNum w:abstractNumId="15">
    <w:nsid w:val="189A769B"/>
    <w:multiLevelType w:val="hybridMultilevel"/>
    <w:lvl w:ilvl="0">
      <w:lvlJc w:val="left"/>
      <w:lvlText w:val="%1."/>
      <w:numFmt w:val="decimal"/>
      <w:start w:val="5"/>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2"/>
    </w:lvl>
    <w:lvl w:ilvl="1">
      <w:lvlJc w:val="left"/>
      <w:lvlText w:val="(%2)"/>
      <w:numFmt w:val="decimal"/>
      <w:start w:val="1"/>
    </w:lvl>
  </w:abstractNum>
  <w:abstractNum w:abstractNumId="18">
    <w:nsid w:val="2CA88611"/>
    <w:multiLevelType w:val="hybridMultilevel"/>
    <w:lvl w:ilvl="0">
      <w:lvlJc w:val="left"/>
      <w:lvlText w:val="%1."/>
      <w:numFmt w:val="decimal"/>
      <w:start w:val="6"/>
    </w:lvl>
  </w:abstractNum>
  <w:abstractNum w:abstractNumId="19">
    <w:nsid w:val="836C40E"/>
    <w:multiLevelType w:val="hybridMultilevel"/>
    <w:lvl w:ilvl="0">
      <w:lvlJc w:val="left"/>
      <w:lvlText w:val="(%1)"/>
      <w:numFmt w:val="lowerLetter"/>
      <w:start w:val="1"/>
    </w:lvl>
    <w:lvl w:ilvl="1">
      <w:lvlJc w:val="left"/>
      <w:lvlText w:val="(%2)"/>
      <w:numFmt w:val="decimal"/>
      <w:start w:val="1"/>
    </w:lvl>
  </w:abstractNum>
  <w:abstractNum w:abstractNumId="20">
    <w:nsid w:val="2901D82"/>
    <w:multiLevelType w:val="hybridMultilevel"/>
    <w:lvl w:ilvl="0">
      <w:lvlJc w:val="left"/>
      <w:lvlText w:val="%1."/>
      <w:numFmt w:val="decimal"/>
      <w:start w:val="7"/>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3"/>
    </w:lvl>
    <w:lvl w:ilvl="1">
      <w:lvlJc w:val="left"/>
      <w:lvlText w:val="(%2)"/>
      <w:numFmt w:val="decimal"/>
      <w:start w:val="1"/>
    </w:lvl>
    <w:lvl w:ilvl="2">
      <w:lvlJc w:val="left"/>
      <w:lvlText w:val="(%3)"/>
      <w:numFmt w:val="decimal"/>
      <w:start w:val="2"/>
    </w:lvl>
    <w:lvl w:ilvl="3">
      <w:lvlJc w:val="left"/>
      <w:lvlText w:val="(%4)"/>
      <w:numFmt w:val="upperLetter"/>
      <w:start w:val="1"/>
    </w:lvl>
  </w:abstractNum>
  <w:abstractNum w:abstractNumId="23">
    <w:nsid w:val="1E7FF521"/>
    <w:multiLevelType w:val="hybridMultilevel"/>
    <w:lvl w:ilvl="0">
      <w:lvlJc w:val="left"/>
      <w:lvlText w:val="%1"/>
      <w:numFmt w:val="decimal"/>
      <w:start w:val="1"/>
    </w:lvl>
    <w:lvl w:ilvl="1">
      <w:lvlJc w:val="left"/>
      <w:lvlText w:val="%2."/>
      <w:numFmt w:val="upperLetter"/>
      <w:start w:val="2"/>
    </w:lvl>
  </w:abstractNum>
  <w:abstractNum w:abstractNumId="24">
    <w:nsid w:val="7C3DBD3D"/>
    <w:multiLevelType w:val="hybridMultilevel"/>
    <w:lvl w:ilvl="0">
      <w:lvlJc w:val="left"/>
      <w:lvlText w:val="%1."/>
      <w:numFmt w:val="decimal"/>
      <w:start w:val="8"/>
    </w:lvl>
    <w:lvl w:ilvl="1">
      <w:lvlJc w:val="left"/>
      <w:lvlText w:val="%2"/>
      <w:numFmt w:val="upperLetter"/>
      <w:start w:val="1"/>
    </w:lvl>
  </w:abstractNum>
  <w:abstractNum w:abstractNumId="25">
    <w:nsid w:val="737B8DDC"/>
    <w:multiLevelType w:val="hybridMultilevel"/>
    <w:lvl w:ilvl="0">
      <w:lvlJc w:val="left"/>
      <w:lvlText w:val="%1"/>
      <w:numFmt w:val="decimal"/>
      <w:start w:val="1"/>
    </w:lvl>
    <w:lvl w:ilvl="1">
      <w:lvlJc w:val="left"/>
      <w:lvlText w:val="%2."/>
      <w:numFmt w:val="lowerLetter"/>
      <w:start w:val="1"/>
    </w:lvl>
  </w:abstractNum>
  <w:abstractNum w:abstractNumId="26">
    <w:nsid w:val="6CEAF087"/>
    <w:multiLevelType w:val="hybridMultilevel"/>
    <w:lvl w:ilvl="0">
      <w:lvlJc w:val="left"/>
      <w:lvlText w:val="%1."/>
      <w:numFmt w:val="decimal"/>
      <w:start w:val="9"/>
    </w:lvl>
    <w:lvl w:ilvl="1">
      <w:lvlJc w:val="left"/>
      <w:lvlText w:val="%2"/>
      <w:numFmt w:val="lowerLetter"/>
      <w:start w:val="1"/>
    </w:lvl>
  </w:abstractNum>
  <w:abstractNum w:abstractNumId="27">
    <w:nsid w:val="22221A70"/>
    <w:multiLevelType w:val="hybridMultilevel"/>
    <w:lvl w:ilvl="0">
      <w:lvlJc w:val="left"/>
      <w:lvlText w:val="(%1)"/>
      <w:numFmt w:val="lowerLetter"/>
      <w:start w:val="1"/>
    </w:lvl>
    <w:lvl w:ilvl="1">
      <w:lvlJc w:val="left"/>
      <w:lvlText w:val="(%2)"/>
      <w:numFmt w:val="decimal"/>
      <w:start w:val="1"/>
    </w:lvl>
  </w:abstractNum>
  <w:abstractNum w:abstractNumId="28">
    <w:nsid w:val="4516DDE9"/>
    <w:multiLevelType w:val="hybridMultilevel"/>
    <w:lvl w:ilvl="0">
      <w:lvlJc w:val="left"/>
      <w:lvlText w:val="(%1)"/>
      <w:numFmt w:val="decimal"/>
      <w:start w:val="3"/>
    </w:lvl>
  </w:abstractNum>
  <w:abstractNum w:abstractNumId="29">
    <w:nsid w:val="3006C83E"/>
    <w:multiLevelType w:val="hybridMultilevel"/>
    <w:lvl w:ilvl="0">
      <w:lvlJc w:val="left"/>
      <w:lvlText w:val="%1."/>
      <w:numFmt w:val="decimal"/>
      <w:start w:val="10"/>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8"/>
    </w:lvl>
  </w:abstractNum>
  <w:abstractNum w:abstractNumId="32">
    <w:nsid w:val="5577F8E1"/>
    <w:multiLevelType w:val="hybridMultilevel"/>
    <w:lvl w:ilvl="0">
      <w:lvlJc w:val="left"/>
      <w:lvlText w:val="%1"/>
      <w:numFmt w:val="decimal"/>
      <w:start w:val="1"/>
    </w:lvl>
    <w:lvl w:ilvl="1">
      <w:lvlJc w:val="left"/>
      <w:lvlText w:val="(%2)"/>
      <w:numFmt w:val="decimal"/>
      <w:start w:val="1"/>
    </w:lvl>
  </w:abstractNum>
  <w:abstractNum w:abstractNumId="33">
    <w:nsid w:val="440BADFC"/>
    <w:multiLevelType w:val="hybridMultilevel"/>
    <w:lvl w:ilvl="0">
      <w:lvlJc w:val="left"/>
      <w:lvlText w:val="%1."/>
      <w:numFmt w:val="decimal"/>
      <w:start w:val="11"/>
    </w:lvl>
    <w:lvl w:ilvl="1">
      <w:lvlJc w:val="left"/>
      <w:lvlText w:val="%2"/>
      <w:numFmt w:val="decimal"/>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5"/>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png"/><Relationship Id="rId14" Type="http://schemas.openxmlformats.org/officeDocument/2006/relationships/hyperlink" Target="https://www.sec.gov/Archives/edgar/data/1102993/000091205701505793/a2041838zex-3_1.txt" TargetMode="External"/><Relationship Id="rId15" Type="http://schemas.openxmlformats.org/officeDocument/2006/relationships/hyperlink" Target="https://www.sec.gov/Archives/edgar/data/1102993/000110299319000123/exhibit42-certificateamend.htm" TargetMode="External"/><Relationship Id="rId16" Type="http://schemas.openxmlformats.org/officeDocument/2006/relationships/hyperlink" Target="https://www.sec.gov/Archives/edgar/data/1102993/000110299323000054/exhibit31amended_bylaws.htm" TargetMode="External"/><Relationship Id="rId17" Type="http://schemas.openxmlformats.org/officeDocument/2006/relationships/hyperlink" Target="https://www.sec.gov/Archives/edgar/data/0001102993/000110299324000019/exhibit31liveperson-certif.htm" TargetMode="External"/><Relationship Id="rId18" Type="http://schemas.openxmlformats.org/officeDocument/2006/relationships/hyperlink" Target="https://www.sec.gov/Archives/edgar/data/0001102993/000110299324000019/exhibit41-livepersonxnolri.htm" TargetMode="External"/><Relationship Id="rId20" Type="http://schemas.openxmlformats.org/officeDocument/2006/relationships/hyperlink" Target="https://www.sec.gov/Archives/edgar/data/0001102993/000110299324000029/lpsn-rightsplanamendment.htm" TargetMode="External"/><Relationship Id="rId21" Type="http://schemas.openxmlformats.org/officeDocument/2006/relationships/hyperlink" Target="https://www.sec.gov/Archives/edgar/data/0001102993/000110299324000187/exh101ar2019stockincentive.htm" TargetMode="External"/><Relationship Id="rId22" Type="http://schemas.openxmlformats.org/officeDocument/2006/relationships/hyperlink" Target="https://www.sec.gov/Archives/edgar/data/0001102993/000110299324000187/exh102ar2019esp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2024-12-16T16:34:29Z</dcterms:created>
  <dcterms:modified xsi:type="dcterms:W3CDTF">2024-12-16T16:34:29Z</dcterms:modified>
</cp:coreProperties>
</file>