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68891d425.htm"/>
      <w:bookmarkStart w:id="1" w:name="ksd168891d425"/>
      <w:bookmarkEnd w:id="0"/>
      <w:bookmarkEnd w:id="1"/>
      <w:r>
        <w:rPr>
          <w:rFonts w:ascii="Times New Roman" w:hAnsi="Times New Roman"/>
          <w:b/>
          <w:sz w:val="20"/>
        </w:rPr>
        <w:t xml:space="preserve">Filed by: LivePerson, Inc. </w:t>
      </w:r>
    </w:p>
    <w:p>
      <w:pPr>
        <w:pStyle w:val="TextBody"/>
        <w:bidi w:val="0"/>
        <w:spacing w:before="0" w:after="0"/>
        <w:jc w:val="right"/>
        <w:rPr>
          <w:rFonts w:ascii="Times New Roman" w:hAnsi="Times New Roman"/>
          <w:b/>
          <w:sz w:val="20"/>
        </w:rPr>
      </w:pPr>
      <w:r>
        <w:rPr>
          <w:rFonts w:ascii="Times New Roman" w:hAnsi="Times New Roman"/>
          <w:b/>
          <w:sz w:val="20"/>
        </w:rPr>
        <w:t xml:space="preserve">Pursuant to Rule 425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Subject Company: LivePerson, Inc. </w:t>
      </w:r>
    </w:p>
    <w:p>
      <w:pPr>
        <w:pStyle w:val="TextBody"/>
        <w:bidi w:val="0"/>
        <w:spacing w:before="0" w:after="0"/>
        <w:jc w:val="right"/>
        <w:rPr>
          <w:rFonts w:ascii="Times New Roman" w:hAnsi="Times New Roman"/>
          <w:b/>
          <w:sz w:val="20"/>
        </w:rPr>
      </w:pPr>
      <w:r>
        <w:rPr>
          <w:rFonts w:ascii="Times New Roman" w:hAnsi="Times New Roman"/>
          <w:b/>
          <w:sz w:val="20"/>
        </w:rPr>
        <w:t xml:space="preserve">Commission File No. 001-41926 </w:t>
      </w:r>
    </w:p>
    <w:p>
      <w:pPr>
        <w:pStyle w:val="TextBody"/>
        <w:bidi w:val="0"/>
        <w:spacing w:before="0" w:after="0"/>
        <w:jc w:val="right"/>
        <w:rPr>
          <w:rFonts w:ascii="Times New Roman" w:hAnsi="Times New Roman"/>
          <w:b/>
          <w:sz w:val="20"/>
        </w:rPr>
      </w:pPr>
      <w:r>
        <w:rPr>
          <w:rFonts w:ascii="Times New Roman" w:hAnsi="Times New Roman"/>
          <w:b/>
          <w:sz w:val="20"/>
        </w:rPr>
        <w:t xml:space="preserve">Date: August 10, 2026 </w:t>
      </w:r>
    </w:p>
    <w:p>
      <w:pPr>
        <w:pStyle w:val="TextBody"/>
        <w:bidi w:val="0"/>
        <w:spacing w:before="240" w:after="0"/>
        <w:jc w:val="left"/>
        <w:rPr>
          <w:rFonts w:ascii="Times New Roman" w:hAnsi="Times New Roman"/>
          <w:b/>
          <w:sz w:val="20"/>
        </w:rPr>
      </w:pPr>
      <w:r>
        <w:rPr>
          <w:rFonts w:ascii="Times New Roman" w:hAnsi="Times New Roman"/>
          <w:b/>
          <w:sz w:val="20"/>
        </w:rPr>
        <w:t xml:space="preserve">Below is a content from the Company’s previously-announced microsite webpage containing certain information relating to the pending merger transaction for its investors that hold shares through the Tel Aviv Stock Exchange: </w:t>
      </w:r>
    </w:p>
    <w:p>
      <w:pPr>
        <w:pStyle w:val="TextBody"/>
        <w:bidi w:val="0"/>
        <w:spacing w:before="0" w:after="0"/>
        <w:jc w:val="left"/>
        <w:rPr/>
      </w:pPr>
      <w:r>
        <w:rPr/>
        <w:t> </w:t>
      </w:r>
    </w:p>
    <w:p>
      <w:pPr>
        <w:pStyle w:val="TextBody"/>
        <w:bidi w:val="0"/>
        <w:spacing w:before="0" w:after="0"/>
        <w:jc w:val="center"/>
        <w:rPr/>
      </w:pPr>
      <w:r>
        <w:rPr/>
        <w:drawing>
          <wp:inline distT="0" distB="0" distL="0" distR="0">
            <wp:extent cx="6012815" cy="23075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12815" cy="23075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6012815" cy="32969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12815" cy="329692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29190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12815" cy="29190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6012815" cy="364617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012815" cy="364617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366585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012815" cy="366585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6012815" cy="332613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012815" cy="332613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316103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012815" cy="31610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6012815" cy="448056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012815" cy="448056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website contains “forward-looking statements” within the meaning of the U.S. federal securities laws about the expectations, beliefs, plans, intentions, prospects, financial results and strategies relating to SoundHound AI’s proposed acquisition of LivePerson. Such forward-looking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LivePerson and SoundHound operate; (4) any failure to promptly and effectively integrate the businesses of LivePerson and SoundHound; (5) the possibility that the transaction may be more expensive to complete than anticipated, including as a result of unexpected factors or events; (6) reputational risk and potential adverse reactions 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are expressly qualified in their entirety by the cautionary statements set forth above. Forward-looking statements speak only as of the date they are made, and LivePerson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w:t>
      </w:r>
    </w:p>
    <w:p>
      <w:pPr>
        <w:pStyle w:val="TextBody"/>
        <w:bidi w:val="0"/>
        <w:spacing w:before="360" w:after="0"/>
        <w:jc w:val="left"/>
        <w:rPr>
          <w:rFonts w:ascii="Times New Roman" w:hAnsi="Times New Roman"/>
          <w:sz w:val="20"/>
        </w:rPr>
      </w:pPr>
      <w:r>
        <w:rPr>
          <w:rFonts w:ascii="Times New Roman" w:hAnsi="Times New Roman"/>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began to LivePerson’s stockholders on or about the same date. Each of SoundHound AI and LivePerson may also file other relevant documents with the SEC regarding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is not a substitute for the Form S-4, the proxy statement/prospectus or any other document that SoundHound AI or LivePerson has filed, or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 </w:t>
      </w:r>
    </w:p>
    <w:p>
      <w:pPr>
        <w:pStyle w:val="TextBody"/>
        <w:bidi w:val="0"/>
        <w:spacing w:before="360" w:after="0"/>
        <w:jc w:val="left"/>
        <w:rPr>
          <w:rFonts w:ascii="Times New Roman" w:hAnsi="Times New Roman"/>
          <w:sz w:val="20"/>
        </w:rPr>
      </w:pPr>
      <w:r>
        <w:rPr>
          <w:rFonts w:ascii="Times New Roman" w:hAnsi="Times New Roman"/>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“Interests of LivePerson Directors and Executive Officers in the Mergers” and “Owners and Management of LivePerson” included in the proxy/prospectus, which was filed with the SEC on July 9, 2026 and is available at https://www.sec.gov/Archives/edgar/data/1102993/000121390026076759/ea0297465-01.htm. Further information about the directors and executive officers of LivePerson may be found in its amendment to its Annual Report on Form 10-K for the year ended December 31, 2025 under the headings “Directors, Executive Officers and Corporate Governance,” “Executive Compensation,” “Security Ownership of Certain Beneficial Owners and Management and Related Stockholder Matters” and is available at: https://www.sec.gov/ix?doc=/Archives/edgar/data/0001102993/000110299326000020/lpsn-20251231.htm;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1344</Words>
  <Characters>7953</Characters>
  <CharactersWithSpaces>9310</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