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Greenberg Monica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LIVEPERSON, INC.,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530 7TH AVE, FLOOR M1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LIVEPERSON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LPSN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Policy &amp; General Counsel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699,270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automatically by the issuer in order to cover the reporting person's tax liability incurred in connection with the vesting of the reporting person's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reported includes 558,749 unvested restricted stock units granted to and held by the reporting person following the reported transaction.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Monica L. Greenberg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07/29/2025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4179" TargetMode="External"/><Relationship Id="rId14" Type="http://schemas.openxmlformats.org/officeDocument/2006/relationships/hyperlink" Target="http://www.sec.gov/cgi-bin/browse-edgar?action=getcompany&amp;CIK=00011029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2025-07-29T18:36:43Z</dcterms:created>
  <dcterms:modified xsi:type="dcterms:W3CDTF">2025-07-29T18:36:43Z</dcterms:modified>
</cp:coreProperties>
</file>