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Filed by: LivePerson, Inc.</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Pursuant to Rule 425 under the Securities Act of 1933</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Subject Company: LivePerson, Inc.</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Commission File No. 001-41926</w: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Date: August 7, 2026</w:t>
      </w:r>
    </w:p>
    <w:p>
      <w:pPr>
        <w:pStyle w:val="TextBody"/>
        <w:bidi w:val="0"/>
        <w:spacing w:before="0" w:after="0"/>
        <w:jc w:val="right"/>
        <w:rPr/>
      </w:pPr>
      <w:r>
        <w:rPr/>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 xml:space="preserve">Leading Independent Proxy Advisory Firm Glass Lewis Recommends LivePerson Stockholders Vote "FOR” SoundHound AI Transaction </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i/>
          <w:color w:val="000000"/>
          <w:sz w:val="20"/>
        </w:rPr>
      </w:pPr>
      <w:r>
        <w:rPr>
          <w:rFonts w:ascii="Arial;sans-serif" w:hAnsi="Arial;sans-serif"/>
          <w:b w:val="false"/>
          <w:i/>
          <w:color w:val="000000"/>
          <w:sz w:val="20"/>
        </w:rPr>
        <w:t>LivePerson Urges Stockholders to Vote “FOR” Transaction with SoundHound AI Today</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color w:val="000000"/>
          <w:sz w:val="20"/>
        </w:rPr>
        <w:t xml:space="preserve">NEW YORK, August 7, 2026 – </w:t>
      </w:r>
      <w:r>
        <w:rPr>
          <w:rFonts w:ascii="Arial;sans-serif" w:hAnsi="Arial;sans-serif"/>
          <w:b w:val="false"/>
          <w:color w:val="000000"/>
          <w:sz w:val="20"/>
        </w:rPr>
        <w:t>LivePerson (NASDAQ: LPSN) (“LivePerson” or “the Company”), a leading provider of predictable conversational AI, today announced that leading independent proxy advisory firm Glass Lewis &amp; Co. (“Glass Lewis”) has recommended that LivePerson stockholders vote “FOR” the Company’s proposed transaction with SoundHound AI, Inc. (NASDAQ: SOUN) ahead of the upcoming Special Meeting of Stockholders on August 20, 2026. In addition, Glass Lewis has recommended that LivePerson stockholders vote “FOR” the proposals related to the proposed transaction.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John Sabino, CEO of LivePerson, said, “The recommendation from Glass Lewis supports the Board’s unanimous determination that our proposed transaction with SoundHound AI maximizes value for and is in the best interests of LivePerson stockholders. In addition to highlighting in its recommendation the value and potential upside that most stockholders will receive in the transaction, Glass Lewis acknowledges the Board’s extensive process and the risks associated with continuing as a standalone company.”</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By following the recommendations of Glass Lewis to vote “</w:t>
      </w:r>
      <w:r>
        <w:rPr>
          <w:rFonts w:ascii="Arial;sans-serif" w:hAnsi="Arial;sans-serif"/>
          <w:b/>
          <w:color w:val="000000"/>
          <w:sz w:val="20"/>
        </w:rPr>
        <w:t>FOR”</w:t>
      </w:r>
      <w:r>
        <w:rPr>
          <w:color w:val="000000"/>
        </w:rPr>
        <w:t xml:space="preserve"> </w:t>
      </w:r>
      <w:r>
        <w:rPr>
          <w:rFonts w:ascii="Arial;sans-serif" w:hAnsi="Arial;sans-serif"/>
          <w:b w:val="false"/>
          <w:color w:val="000000"/>
          <w:sz w:val="20"/>
        </w:rPr>
        <w:t>the transaction with SoundHound AI, LivePerson stockholders are supporting a transaction that:</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Represents Premium Value for LivePerson Stockholders:</w:t>
      </w:r>
      <w:r>
        <w:rPr>
          <w:color w:val="000000"/>
        </w:rPr>
        <w:t xml:space="preserve"> </w:t>
      </w:r>
      <w:r>
        <w:rPr>
          <w:rFonts w:ascii="Arial;sans-serif" w:hAnsi="Arial;sans-serif"/>
          <w:b w:val="false"/>
          <w:color w:val="000000"/>
          <w:sz w:val="20"/>
        </w:rPr>
        <w:t>Most LivePerson stockholders will receive shares of SoundHound stock valued at approximately $3.33 per share as of the April 21, 2026 announcement, representing an attractive 22% premium over our 30-day volume-weighted average trading price before such announcement. Stockholders holding shares on the Tel Aviv Stock Exchange will receive a substantially equivalent value in cash.</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Presents an Opportunity to Participate in Future Upside:</w:t>
      </w:r>
      <w:r>
        <w:rPr>
          <w:color w:val="000000"/>
        </w:rPr>
        <w:t xml:space="preserve"> </w:t>
      </w:r>
      <w:r>
        <w:rPr>
          <w:rFonts w:ascii="Arial;sans-serif" w:hAnsi="Arial;sans-serif"/>
          <w:b w:val="false"/>
          <w:color w:val="000000"/>
          <w:sz w:val="20"/>
        </w:rPr>
        <w:t>Most LivePerson Stockholders have the opportunity to become equity owners of a combined AI leader with a strong, debt-free balance sheet and an accelerated path to profitability. SoundHound has stated that, assuming the transaction closes in the second half of 2026, it expects an achievable combined revenue range of at minimum $350 to $400 million in 2027 and that the combined business is expected to reach up to $500 million based on the existing customer base alone.</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Delivers Comprehensive Omnichannel Reach at Scale:</w:t>
      </w:r>
      <w:r>
        <w:rPr>
          <w:color w:val="000000"/>
        </w:rPr>
        <w:t xml:space="preserve"> </w:t>
      </w:r>
      <w:r>
        <w:rPr>
          <w:rFonts w:ascii="Arial;sans-serif" w:hAnsi="Arial;sans-serif"/>
          <w:b w:val="false"/>
          <w:color w:val="000000"/>
          <w:sz w:val="20"/>
        </w:rPr>
        <w:t>The transaction would unite complementary capabilities across voice, digital engagement, agentic AI, and AI assurance. The combined customer base includes 25 of the Fortune 100, creating one of the conversational AI sector's most comprehensive enterprise customer footprints and significant opportunities to introduce additional capabilities across the companies' existing customer bases.</w:t>
      </w:r>
    </w:p>
    <w:p>
      <w:pPr>
        <w:pStyle w:val="TextBody"/>
        <w:bidi w:val="0"/>
        <w:spacing w:before="0" w:after="0"/>
        <w:jc w:val="left"/>
        <w:rPr/>
      </w:pPr>
      <w:r>
        <w:rPr/>
      </w:r>
    </w:p>
    <w:p>
      <w:pPr>
        <w:pStyle w:val="TextBody"/>
        <w:bidi w:val="0"/>
        <w:spacing w:lineRule="auto" w:line="268" w:before="0" w:after="0"/>
        <w:ind w:left="0" w:right="0" w:hanging="360"/>
        <w:jc w:val="left"/>
        <w:rPr/>
      </w:pPr>
      <w:r>
        <w:rPr>
          <w:color w:val="000000"/>
        </w:rPr>
        <w:t>•</w:t>
      </w:r>
      <w:r>
        <w:rPr>
          <w:rFonts w:ascii="Arial;sans-serif" w:hAnsi="Arial;sans-serif"/>
          <w:b/>
          <w:color w:val="000000"/>
          <w:sz w:val="20"/>
        </w:rPr>
        <w:t>Resolves LivePerson’s Outstanding Debt:</w:t>
      </w:r>
      <w:r>
        <w:rPr>
          <w:color w:val="000000"/>
        </w:rPr>
        <w:t xml:space="preserve"> </w:t>
      </w:r>
      <w:r>
        <w:rPr>
          <w:rFonts w:ascii="Arial;sans-serif" w:hAnsi="Arial;sans-serif"/>
          <w:b w:val="false"/>
          <w:color w:val="000000"/>
          <w:sz w:val="20"/>
        </w:rPr>
        <w:t>LivePerson's outstanding debt currently exceeds the total value of the transaction. As part of the transaction, our secured noteholders have agreed to exchange their notes at a value reflecting a substantial discount to the notes' approximately $350 million par value.</w:t>
      </w:r>
    </w:p>
    <w:p>
      <w:pPr>
        <w:pStyle w:val="TextBody"/>
        <w:bidi w:val="0"/>
        <w:spacing w:before="0" w:after="0"/>
        <w:jc w:val="left"/>
        <w:rPr/>
      </w:pPr>
      <w:r>
        <w:rPr/>
      </w:r>
    </w:p>
    <w:p>
      <w:pPr>
        <w:pStyle w:val="TextBody"/>
        <w:bidi w:val="0"/>
        <w:spacing w:lineRule="auto" w:line="268" w:before="0" w:after="0"/>
        <w:jc w:val="left"/>
        <w:rPr/>
      </w:pPr>
      <w:r>
        <w:rPr>
          <w:rFonts w:ascii="Arial;sans-serif" w:hAnsi="Arial;sans-serif"/>
          <w:b w:val="false"/>
          <w:color w:val="000000"/>
          <w:sz w:val="20"/>
        </w:rPr>
        <w:t xml:space="preserve">LivePerson strongly encourages all LivePerson stockholders to follow Glass Lewis’ guidance and vote </w:t>
      </w:r>
      <w:r>
        <w:rPr>
          <w:rFonts w:ascii="Arial;sans-serif" w:hAnsi="Arial;sans-serif"/>
          <w:b/>
          <w:color w:val="000000"/>
          <w:sz w:val="20"/>
        </w:rPr>
        <w:t>FOR</w:t>
      </w:r>
      <w:r>
        <w:rPr>
          <w:color w:val="000000"/>
        </w:rPr>
        <w:t xml:space="preserve"> </w:t>
      </w:r>
      <w:r>
        <w:rPr>
          <w:rFonts w:ascii="Arial;sans-serif" w:hAnsi="Arial;sans-serif"/>
          <w:b w:val="false"/>
          <w:color w:val="000000"/>
          <w:sz w:val="20"/>
        </w:rPr>
        <w:t xml:space="preserve">the transaction with SoundHound AI ahead of our August 20 Special Meeting. For additional information on the transaction and how to vote, visit VoteLivePerson.com.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Arial;sans-serif" w:hAnsi="Arial;sans-serif"/>
          <w:b/>
          <w:color w:val="000000"/>
          <w:sz w:val="20"/>
        </w:rPr>
      </w:pPr>
      <w:r>
        <w:rPr>
          <w:rFonts w:ascii="Arial;sans-serif" w:hAnsi="Arial;sans-serif"/>
          <w:b/>
          <w:color w:val="000000"/>
          <w:sz w:val="20"/>
        </w:rPr>
        <w:t>VOTE TODAY</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Your vote is very important. The Special Meeting is scheduled for August 20, 2026.</w:t>
      </w:r>
    </w:p>
    <w:p>
      <w:pPr>
        <w:pStyle w:val="TextBody"/>
        <w:bidi w:val="0"/>
        <w:spacing w:before="0" w:after="0"/>
        <w:jc w:val="left"/>
        <w:rPr/>
      </w:pPr>
      <w:r>
        <w:rPr/>
      </w:r>
    </w:p>
    <w:p>
      <w:pPr>
        <w:pStyle w:val="TextBody"/>
        <w:bidi w:val="0"/>
        <w:spacing w:lineRule="auto" w:line="268" w:before="0" w:after="0"/>
        <w:jc w:val="center"/>
        <w:rPr/>
      </w:pPr>
      <w:r>
        <w:rPr>
          <w:rFonts w:ascii="Arial;sans-serif" w:hAnsi="Arial;sans-serif"/>
          <w:b w:val="false"/>
          <w:color w:val="000000"/>
          <w:sz w:val="20"/>
        </w:rPr>
        <w:t xml:space="preserve">Approval of the merger proposal requires the affirmative vote of a majority of all outstanding shares of LivePerson common stock. </w:t>
      </w:r>
      <w:r>
        <w:rPr>
          <w:rFonts w:ascii="Arial;sans-serif" w:hAnsi="Arial;sans-serif"/>
          <w:b/>
          <w:color w:val="000000"/>
          <w:sz w:val="20"/>
        </w:rPr>
        <w:t>Not voting has the same effect as voting against the transaction.</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Vote today by proxy card, online at www.proxyvote.com, or by phone. For more information and additional materials visit VoteLivePerson.com, or contact LivePerson’s proxy solicitor, MacKenzie Partners, Inc., toll-free at (800) 322-2885 or by e-mail at proxy@mackenziepartners.com.</w:t>
      </w:r>
    </w:p>
    <w:p>
      <w:pPr>
        <w:pStyle w:val="TextBody"/>
        <w:bidi w:val="0"/>
        <w:spacing w:before="0" w:after="0"/>
        <w:jc w:val="left"/>
        <w:rPr/>
      </w:pPr>
      <w:r>
        <w:rPr/>
      </w:r>
    </w:p>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MacKenzie Partners, Inc.</w:t>
      </w:r>
    </w:p>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7 Penn Plaza New York, NY 10001</w:t>
      </w:r>
    </w:p>
    <w:p>
      <w:pPr>
        <w:pStyle w:val="TextBody"/>
        <w:bidi w:val="0"/>
        <w:spacing w:lineRule="auto" w:line="268" w:before="0" w:after="0"/>
        <w:jc w:val="center"/>
        <w:rPr>
          <w:rFonts w:ascii="Arial;sans-serif" w:hAnsi="Arial;sans-serif"/>
          <w:b w:val="false"/>
          <w:color w:val="000000"/>
          <w:sz w:val="20"/>
        </w:rPr>
      </w:pPr>
      <w:r>
        <w:rPr>
          <w:rFonts w:ascii="Arial;sans-serif" w:hAnsi="Arial;sans-serif"/>
          <w:b w:val="false"/>
          <w:color w:val="000000"/>
          <w:sz w:val="20"/>
        </w:rPr>
        <w:t xml:space="preserve">Call Toll-Free: (800) 322-2885 Email: proxy@mackenziepartners.com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Tel Aviv Stock Exchange Voting Information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LivePerson stockholders who hold shares listed on the Tel Aviv Stock Exchange (TASE) and intend to vote their shares must deliver to LivePerson’s Israeli counsel, Arnon, Tadmor-Levy, c/o Moshe Pasker, Azrieli Center (Square Tower), Tel Aviv, Israel, 6702101 (email: MosheP@ArnonTL.com), an ownership certificate confirming their ownership on July 6, 2026. The form of proxy card for stockholders who hold shares listed on the TASE can be found here: https://mayafiles.tase.co.il/rpdf/1759001-1760000/P1759388-00.pdf.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About LivePerson</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LivePerson (NASDAQ: LPSN) is an enterprise leader in predictable conversational AI. The world's leading brands use our award-winning Conversational Cloud and Syntrix platforms to connect with millions of customers. We power nearly a billion messages every month, providing uniquely rich data analytics, agent training, and AI evaluation tools to unlock the power of conversational AI for better business outcomes. Learn more at liveperson.com.</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Media Contact: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Riah Lawry</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pr@liveperson.com </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Or</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Jim Golden / Dylan O’Keefe</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Collected Strategies</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LivePerson-CS@collectedstrategies.com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Investor Relations Contact: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 xml:space="preserve">ir-lp@liveperson.com </w:t>
      </w:r>
    </w:p>
    <w:p>
      <w:pPr>
        <w:pStyle w:val="TextBody"/>
        <w:bidi w:val="0"/>
        <w:spacing w:before="0" w:after="0"/>
        <w:jc w:val="left"/>
        <w:rPr/>
      </w:pPr>
      <w:r>
        <w:rPr/>
      </w:r>
    </w:p>
    <w:p>
      <w:pPr>
        <w:pStyle w:val="TextBody"/>
        <w:bidi w:val="0"/>
        <w:spacing w:lineRule="auto" w:line="268" w:before="0" w:after="0"/>
        <w:jc w:val="left"/>
        <w:rPr>
          <w:rFonts w:ascii="Arial;sans-serif" w:hAnsi="Arial;sans-serif"/>
          <w:b/>
          <w:color w:val="000000"/>
          <w:sz w:val="20"/>
        </w:rPr>
      </w:pPr>
      <w:r>
        <w:rPr>
          <w:rFonts w:ascii="Arial;sans-serif" w:hAnsi="Arial;sans-serif"/>
          <w:b/>
          <w:color w:val="000000"/>
          <w:sz w:val="20"/>
        </w:rPr>
        <w:t>Additional Investor Relations Contact:</w:t>
      </w:r>
    </w:p>
    <w:p>
      <w:pPr>
        <w:pStyle w:val="TextBody"/>
        <w:bidi w:val="0"/>
        <w:spacing w:before="0" w:after="0"/>
        <w:jc w:val="left"/>
        <w:rPr/>
      </w:pPr>
      <w:r>
        <w:rPr/>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MacKenzie Partners, Inc.</w:t>
      </w:r>
    </w:p>
    <w:p>
      <w:pPr>
        <w:pStyle w:val="TextBody"/>
        <w:bidi w:val="0"/>
        <w:spacing w:lineRule="auto" w:line="268" w:before="0" w:after="0"/>
        <w:jc w:val="left"/>
        <w:rPr>
          <w:rFonts w:ascii="Arial;sans-serif" w:hAnsi="Arial;sans-serif"/>
          <w:b w:val="false"/>
          <w:color w:val="000000"/>
          <w:sz w:val="20"/>
        </w:rPr>
      </w:pPr>
      <w:r>
        <w:rPr>
          <w:rFonts w:ascii="Arial;sans-serif" w:hAnsi="Arial;sans-serif"/>
          <w:b w:val="false"/>
          <w:color w:val="000000"/>
          <w:sz w:val="20"/>
        </w:rPr>
        <w:t>proxy@mackenziepartners.com</w:t>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Arial;sans-serif" w:hAnsi="Arial;sans-serif"/>
          <w:b/>
          <w:color w:val="000000"/>
          <w:sz w:val="20"/>
        </w:rPr>
      </w:pPr>
      <w:r>
        <w:rPr>
          <w:rFonts w:ascii="Arial;sans-serif" w:hAnsi="Arial;sans-serif"/>
          <w:b/>
          <w:color w:val="000000"/>
          <w:sz w:val="20"/>
        </w:rPr>
        <w:t>************************</w: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Forward-Looking Statements</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document contains "forward-looking statements" within the meaning of the U.S. federal securities laws about the expectations, beliefs, plans, intentions, prospects, financial results and strategies relating to SoundHound AI’s proposed acquisition of LivePerson. Such forward-looking statements include, among others, statements regarding the timing of filing the definitive proxy/prospectus and timing of LivePerson’s special meeting, obtaining regulatory approvals, the timing of closing of the proposed acquisition, and the parties’ expectations, intentions, strategies, assumptions or beliefs about future events, results of operations or performance or that do not solely relate to historical or current facts. Forward-looking statements are predictions, projections and other statements about future events or conditions that are based on current expectations and assumptions and, as a result, are subject to risks and uncertainties. Many factors could cause actual future events to differ materially from the forward-looking statements in this communication, including: (1) the occurrence of any event, change, or other circumstance that could give rise to the right of one or both of the parties to terminate the definitive merger agreement between LivePerson and SoundHound; (2) the possibility that the transaction does not close when expected or at all due to the failure to satisfy all of the conditions to closing on a timely basis or at all, including the failure to obtain the required shareholder approvals or to consummate the notes restructuring transactions contemplated by the Notes Restructuring Agreement; (3) the risk that the benefits from the transaction may not be fully realized or may take longer to realize than expected, including as a result of changes in, or problems arising from, general economic and market conditions, interest and exchange rates, monetary policy, trade policy (including tariff levels), laws and regulations and their enforcement, and the degree of competition in the geographic and business areas in which LivePerson and SoundHound operate; (4) any failure to promptly and effectively integrate the businesses of LivePerson and SoundHound; (5) the possibility that the transaction may be more expensive to complete than anticipated, including as a result of unexpected factors or events; (6) reputational risk and potential adverse reactions of LivePerson’s or SoundHound’s customers, employees or other business partners, including those resulting from the announcement, pendency or completion of the transaction; (7) the diversion of management’s attention and time to the transaction from ongoing business operations and opportunities; and (8) the outcome of any legal proceedings that may be instituted against LivePerson or SoundHound or in connection with the transaction. Further information on factors that could affect the forward-looking statements and expectations above are contained in the filings that LivePerson and/or SoundHound AI have filed, or that will be filed, with the U.S. Securities and Exchange Commission (the “SEC”), including as set forth in the Form S-4 and the proxy statement/prospectus contained therein, as well as the documents incorporated by reference therein.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All forward-looking statements are expressly qualified in their entirety by the cautionary statements set forth above. Forward-looking statements speak only as of the date they are made, and LivePerson does not undertake or assume any obligation to update publicly any of these statements to reflect actual results, new information or future events, changes in assumptions, or changes in other factors affecting forward-looking statements, except to the extent required by applicable law.</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No Offer or Solicitation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communication is not intended to be, and shall not constitute, an offer to sell, buy or exchange or the solicitation of an offer to sell, buy or exchange any securities, or a solicitation of any vote or approval, nor shall there be any sale of securities in any jurisdiction in which such offer, solicitation or sale would be unlawful prior to registration or qualification under the securities laws of any such jurisdiction. No offering of securities shall be made except by means of a prospectus meeting the requirements of Section 10 of the Securities Act.</w:t>
      </w:r>
    </w:p>
    <w:p>
      <w:pPr>
        <w:pStyle w:val="TextBody"/>
        <w:bidi w:val="0"/>
        <w:spacing w:before="0" w:after="0"/>
        <w:jc w:val="both"/>
        <w:rPr/>
      </w:pPr>
      <w:r>
        <w:rPr/>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Additional Information and Where to Find It</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In connection with the proposed transaction, SoundHound AI has filed with the U.S. Securities and Exchange Commission (the “SEC”) a registration statement on Form S-4 (the “Form S-4”) that includes a definitive proxy statement of LivePerson and that constitutes a prospectus of SoundHound AI with respect to the shares of the SoundHound AI common stock to be issued in the proposed transaction, dated July 9, 2026 (the “proxy statement/prospectus”). The proxy statement/prospectus was filed with the SEC on July 9, 2026 by LivePerson, and the mailing of the proxy statement/prospectus to LivePerson’s stockholders began on or about the same date. Each of SoundHound AI and LivePerson may also file other relevant documents with the SEC regarding the proposed transaction.</w:t>
      </w:r>
    </w:p>
    <w:p>
      <w:pPr>
        <w:pStyle w:val="TextBody"/>
        <w:bidi w:val="0"/>
        <w:spacing w:before="0" w:after="0"/>
        <w:jc w:val="both"/>
        <w:rPr/>
      </w:pPr>
      <w:r>
        <w:rPr/>
      </w:r>
    </w:p>
    <w:p>
      <w:pPr>
        <w:pStyle w:val="TextBody"/>
        <w:bidi w:val="0"/>
        <w:spacing w:lineRule="auto" w:line="288" w:before="0" w:after="0"/>
        <w:jc w:val="both"/>
        <w:rPr>
          <w:rFonts w:ascii="Arial;sans-serif" w:hAnsi="Arial;sans-serif"/>
          <w:b w:val="false"/>
          <w:color w:val="000000"/>
          <w:sz w:val="20"/>
        </w:rPr>
      </w:pPr>
      <w:r>
        <w:rPr>
          <w:rFonts w:ascii="Arial;sans-serif" w:hAnsi="Arial;sans-serif"/>
          <w:b w:val="false"/>
          <w:color w:val="000000"/>
          <w:sz w:val="20"/>
        </w:rPr>
        <w:t>This communication is not a substitute for the Form S-4, the proxy statement/prospectus or any other document that SoundHound AI or LivePerson has filed, or may file, with the SEC in connection with the proposed transaction. INVESTORS AND SECURITY HOLDERS OF SOUNDHOUND AI AND LIVEPERSON ARE URGED TO READ THE FORM S-4, THE PROXY STATEMENT/PROSPECTUS AND ANY OTHER RELEVANT DOCUMENTS FILED WITH THE SEC, AS WELL AS ANY AMENDMENTS OR SUPPLEMENTS TO THOSE DOCUMENTS, CAREFULLY IN THEIR ENTIRETY IF AND WHEN THEY BECOME AVAILABLE BECAUSE THEY WILL CONTAIN IMPORTANT INFORMATION ABOUT THE PROPOSED TRANSACTION. Investors and security holders will be able to obtain copies of these documents (if and when available), as well as other filings containing information about SoundHound AI and LivePerson, free of charge on the SEC’s website at www.sec.gov. Copies of the documents filed with, or furnished to, the SEC by the Company will be available free of charge on SoundHound AI’s website at https://investors.soundhound.com/financial-information/sec-filings. Copies of the documents filed with, or furnished to, the SEC by LivePerson will be available free of charge on LivePerson’s website at https://ir.liveperson.com/financial-information/sec-filings. The information included on, or accessible through, SoundHound AI’s or LivePerson’s website is not incorporated by reference into this communication.</w:t>
      </w:r>
    </w:p>
    <w:p>
      <w:pPr>
        <w:pStyle w:val="TextBody"/>
        <w:bidi w:val="0"/>
        <w:spacing w:before="0" w:after="0"/>
        <w:jc w:val="both"/>
        <w:rPr/>
      </w:pPr>
      <w:r>
        <w:rPr/>
      </w:r>
    </w:p>
    <w:p>
      <w:pPr>
        <w:pStyle w:val="TextBody"/>
        <w:bidi w:val="0"/>
        <w:spacing w:lineRule="auto" w:line="288" w:before="0" w:after="0"/>
        <w:jc w:val="both"/>
        <w:rPr>
          <w:rFonts w:ascii="Arial;sans-serif" w:hAnsi="Arial;sans-serif"/>
          <w:b/>
          <w:color w:val="000000"/>
          <w:sz w:val="20"/>
        </w:rPr>
      </w:pPr>
      <w:r>
        <w:rPr>
          <w:rFonts w:ascii="Arial;sans-serif" w:hAnsi="Arial;sans-serif"/>
          <w:b/>
          <w:color w:val="000000"/>
          <w:sz w:val="20"/>
        </w:rPr>
        <w:t>Participants in the Solicitation</w:t>
      </w:r>
    </w:p>
    <w:p>
      <w:pPr>
        <w:pStyle w:val="TextBody"/>
        <w:bidi w:val="0"/>
        <w:spacing w:before="0" w:after="0"/>
        <w:jc w:val="both"/>
        <w:rPr/>
      </w:pPr>
      <w:r>
        <w:rPr/>
      </w:r>
    </w:p>
    <w:p>
      <w:pPr>
        <w:pStyle w:val="TextBody"/>
        <w:bidi w:val="0"/>
        <w:spacing w:lineRule="auto" w:line="288"/>
        <w:jc w:val="both"/>
        <w:rPr>
          <w:rFonts w:ascii="Arial;sans-serif" w:hAnsi="Arial;sans-serif"/>
          <w:b w:val="false"/>
          <w:color w:val="000000"/>
          <w:sz w:val="20"/>
        </w:rPr>
      </w:pPr>
      <w:r>
        <w:rPr>
          <w:rFonts w:ascii="Arial;sans-serif" w:hAnsi="Arial;sans-serif"/>
          <w:b w:val="false"/>
          <w:color w:val="000000"/>
          <w:sz w:val="20"/>
        </w:rPr>
        <w:t>SoundHound, LivePerson and their respective directors and executive officers may be deemed to be participants in the solicitation of proxies with respect to the proposed transaction under the rules of the SEC. Information about the directors and executive officers of SoundHound, including a description of their direct or indirect interests, by security holdings or otherwise, is set forth in SoundHound’s definitive proxy statement for its 2026 annual meeting of stockholders under the heading “Proposal 1 – Election of Directors”, which was filed with the SEC on April 9, 2026 and is available at https://www.sec.gov/ix?doc=/Archives/edgar/data/0001840856/000121390026041978/ea0285618-01.htm. Information about the directors and executive officers of LivePerson and their ownership of LivePerson equity interests can be found in the section entitled “Interests of LivePerson Directors and Executive Officers in the Mergers” and “Owners and Management of LivePerson” included in the proxy/prospectus, which was filed with the SEC on July 9, 2026 and is available at https://www.sec.gov/Archives/edgar/data/1102993/000121390026076759/ea0297465-01.htm. Further information about the directors and executive officers of LivePerson may be found in its amendment to its Annual Report on Form 10-K for the year ended December 31, 2025 under the headings “Directors, Executive Officers and Corporate Governance,” “Executive Compensation,” “Security Ownership of Certain Beneficial Owners and Management and Related Stockholder Matters” and is available at: https://www.sec.gov/ix?doc=/Archives/edgar/data/0001102993/000110299326000020/lpsn-20251231.htm; in the Form 3 and Form 4 statements of beneficial ownership and statements of changes in beneficial ownership filed with the SEC by LivePerson’s directors and executive officers; and is in other documents filed by LivePerson with the SEC. Additional information regarding the interests of the participants in the solicitation of proxies will be included in other relevant materials to be filed with the SEC if and when they become available. You should read the Form S-4 and the proxy statement/prospectus carefully before making any voting or investment decisions. You may obtain free copies of these documents using the sources indicated above.</w:t>
      </w: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2061</Words>
  <Characters>12447</Characters>
  <CharactersWithSpaces>14468</CharactersWithSpaces>
  <Paragraphs>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