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Filed by: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Pursuant to Rule 425 under the Securities Act of 1933</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Subject Company: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Commission File No. 001-41926</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Date: August 11, 2026</w:t>
      </w:r>
    </w:p>
    <w:p>
      <w:pPr>
        <w:pStyle w:val="TextBody"/>
        <w:bidi w:val="0"/>
        <w:spacing w:before="0" w:after="0"/>
        <w:jc w:val="righ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To: LP-Global</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From: People Team</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Subject LivePerson x SoundHound: Employee Journey Updates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We’re pleased to share additional details about what LivePerson employees can expect as we approach the anticipated close of the transaction with SoundHound here.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Developed in partnership with the SoundHound team, this guide outlines key employee milestones from now through the planned transition.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Many details are still being finalized, and our respective teams are working closely to confirm the remaining steps. We will continue to share updates as more information becomes available. Please note that all dates and timing referenced in the deck are contingent on deal closure.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You can continue to submit questions through the Employee Question Form and access internal and external communications about the pending transaction on the LivePerson x SoundHound internal site.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Thank you for your continued patience as we work to support a smooth employee experience and prepare for this next chapter.</w:t>
      </w:r>
    </w:p>
    <w:p>
      <w:pPr>
        <w:pStyle w:val="TextBody"/>
        <w:bidi w:val="0"/>
        <w:spacing w:before="0" w:after="0"/>
        <w:jc w:val="left"/>
        <w:rPr/>
      </w:pPr>
      <w:r>
        <w:rPr/>
      </w:r>
    </w:p>
    <w:p>
      <w:pPr>
        <w:pStyle w:val="TextBody"/>
        <w:bidi w:val="0"/>
        <w:spacing w:before="0" w:after="0"/>
        <w:jc w:val="left"/>
        <w:rPr/>
      </w:pPr>
      <w:r>
        <w:rPr/>
        <w:drawing>
          <wp:inline distT="0" distB="0" distL="0" distR="0">
            <wp:extent cx="5943600" cy="2847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8479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5943600" cy="29241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5943600" cy="29241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drawing>
          <wp:inline distT="0" distB="0" distL="0" distR="0">
            <wp:extent cx="5943600" cy="29146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5943600" cy="2914650"/>
                    </a:xfrm>
                    <a:prstGeom prst="rect">
                      <a:avLst/>
                    </a:prstGeom>
                  </pic:spPr>
                </pic:pic>
              </a:graphicData>
            </a:graphic>
          </wp:inline>
        </w:drawing>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5943600" cy="32861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943600" cy="3286125"/>
                    </a:xfrm>
                    <a:prstGeom prst="rect">
                      <a:avLst/>
                    </a:prstGeom>
                  </pic:spPr>
                </pic:pic>
              </a:graphicData>
            </a:graphic>
          </wp:inline>
        </w:drawing>
      </w:r>
    </w:p>
    <w:p>
      <w:pPr>
        <w:pStyle w:val="TextBody"/>
        <w:bidi w:val="0"/>
        <w:spacing w:before="0" w:after="0"/>
        <w:jc w:val="left"/>
        <w:rPr/>
      </w:pPr>
      <w:r>
        <w:rPr/>
        <w:drawing>
          <wp:inline distT="0" distB="0" distL="0" distR="0">
            <wp:extent cx="5943600" cy="29051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943600" cy="290512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5943600" cy="29146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5943600" cy="2914650"/>
                    </a:xfrm>
                    <a:prstGeom prst="rect">
                      <a:avLst/>
                    </a:prstGeom>
                  </pic:spPr>
                </pic:pic>
              </a:graphicData>
            </a:graphic>
          </wp:inline>
        </w:drawing>
      </w:r>
    </w:p>
    <w:p>
      <w:pPr>
        <w:pStyle w:val="TextBody"/>
        <w:bidi w:val="0"/>
        <w:spacing w:before="0" w:after="0"/>
        <w:jc w:val="left"/>
        <w:rPr/>
      </w:pPr>
      <w:r>
        <w:rPr/>
      </w:r>
    </w:p>
    <w:p>
      <w:pPr>
        <w:pStyle w:val="TextBody"/>
        <w:bidi w:val="0"/>
        <w:spacing w:before="0" w:after="283"/>
        <w:jc w:val="left"/>
        <w:rPr/>
      </w:pPr>
      <w:r>
        <w:rPr/>
        <w:drawing>
          <wp:inline distT="0" distB="0" distL="0" distR="0">
            <wp:extent cx="5943600" cy="300037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5943600" cy="30003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document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 Offer or Solicitation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Additional Information and Where to Find 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Participants in the Solicitation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1462</Words>
  <Characters>8629</Characters>
  <CharactersWithSpaces>10069</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